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3D0E" w14:textId="54ECC2B3" w:rsidR="00944AFC" w:rsidRPr="00F7387A" w:rsidRDefault="00C96721" w:rsidP="006375D9">
      <w:pPr>
        <w:jc w:val="both"/>
        <w:rPr>
          <w:rFonts w:ascii="Times New Roman" w:hAnsi="Times New Roman" w:cs="Times New Roman"/>
          <w:sz w:val="24"/>
          <w:szCs w:val="24"/>
        </w:rPr>
      </w:pPr>
      <w:bookmarkStart w:id="0" w:name="_Hlk130288830"/>
      <w:r w:rsidRPr="00F7387A">
        <w:rPr>
          <w:rFonts w:ascii="Times New Roman" w:hAnsi="Times New Roman" w:cs="Times New Roman"/>
          <w:sz w:val="24"/>
          <w:szCs w:val="24"/>
        </w:rPr>
        <w:t xml:space="preserve">2918 </w:t>
      </w:r>
      <w:r w:rsidR="00944AFC" w:rsidRPr="00F7387A">
        <w:rPr>
          <w:rFonts w:ascii="Times New Roman" w:hAnsi="Times New Roman" w:cs="Times New Roman"/>
          <w:sz w:val="24"/>
          <w:szCs w:val="24"/>
        </w:rPr>
        <w:t>EKONOMSKI INSTITUT, ZAGREB</w:t>
      </w:r>
    </w:p>
    <w:p w14:paraId="0281609E" w14:textId="1BE4020A" w:rsidR="00E503B9" w:rsidRPr="009C457B" w:rsidRDefault="009C371B" w:rsidP="006375D9">
      <w:pPr>
        <w:jc w:val="both"/>
        <w:rPr>
          <w:rFonts w:ascii="Times New Roman" w:hAnsi="Times New Roman" w:cs="Times New Roman"/>
          <w:sz w:val="24"/>
          <w:szCs w:val="24"/>
        </w:rPr>
      </w:pPr>
      <w:r w:rsidRPr="009C457B">
        <w:rPr>
          <w:rFonts w:ascii="Times New Roman" w:hAnsi="Times New Roman" w:cs="Times New Roman"/>
          <w:sz w:val="24"/>
          <w:szCs w:val="24"/>
        </w:rPr>
        <w:t>19</w:t>
      </w:r>
      <w:r w:rsidR="00E503B9" w:rsidRPr="009C457B">
        <w:rPr>
          <w:rFonts w:ascii="Times New Roman" w:hAnsi="Times New Roman" w:cs="Times New Roman"/>
          <w:sz w:val="24"/>
          <w:szCs w:val="24"/>
        </w:rPr>
        <w:t>. ožujka 202</w:t>
      </w:r>
      <w:r w:rsidR="00C57833" w:rsidRPr="009C457B">
        <w:rPr>
          <w:rFonts w:ascii="Times New Roman" w:hAnsi="Times New Roman" w:cs="Times New Roman"/>
          <w:sz w:val="24"/>
          <w:szCs w:val="24"/>
        </w:rPr>
        <w:t>6</w:t>
      </w:r>
      <w:r w:rsidR="00E503B9" w:rsidRPr="009C457B">
        <w:rPr>
          <w:rFonts w:ascii="Times New Roman" w:hAnsi="Times New Roman" w:cs="Times New Roman"/>
          <w:sz w:val="24"/>
          <w:szCs w:val="24"/>
        </w:rPr>
        <w:t>.</w:t>
      </w:r>
    </w:p>
    <w:bookmarkEnd w:id="0"/>
    <w:p w14:paraId="4BAE02FC" w14:textId="77777777" w:rsidR="009E6600" w:rsidRDefault="009E6600" w:rsidP="006375D9">
      <w:pPr>
        <w:jc w:val="both"/>
        <w:rPr>
          <w:rFonts w:ascii="Times New Roman" w:hAnsi="Times New Roman" w:cs="Times New Roman"/>
          <w:b/>
          <w:bCs/>
          <w:color w:val="5B9BD5" w:themeColor="accent5"/>
          <w:sz w:val="24"/>
          <w:szCs w:val="24"/>
        </w:rPr>
      </w:pPr>
    </w:p>
    <w:p w14:paraId="4880259A" w14:textId="77777777" w:rsidR="00416484" w:rsidRDefault="00416484" w:rsidP="006375D9">
      <w:pPr>
        <w:jc w:val="both"/>
        <w:rPr>
          <w:rFonts w:ascii="Times New Roman" w:hAnsi="Times New Roman" w:cs="Times New Roman"/>
          <w:b/>
          <w:bCs/>
          <w:color w:val="5B9BD5" w:themeColor="accent5"/>
          <w:sz w:val="24"/>
          <w:szCs w:val="24"/>
        </w:rPr>
      </w:pPr>
    </w:p>
    <w:p w14:paraId="4ED5965F" w14:textId="77777777" w:rsidR="00D560E3" w:rsidRPr="00C57833" w:rsidRDefault="00D560E3" w:rsidP="006375D9">
      <w:pPr>
        <w:jc w:val="both"/>
        <w:rPr>
          <w:rFonts w:ascii="Times New Roman" w:hAnsi="Times New Roman" w:cs="Times New Roman"/>
          <w:b/>
          <w:bCs/>
          <w:color w:val="5B9BD5" w:themeColor="accent5"/>
          <w:sz w:val="24"/>
          <w:szCs w:val="24"/>
        </w:rPr>
      </w:pPr>
    </w:p>
    <w:p w14:paraId="68F721AA" w14:textId="5A790BC6" w:rsidR="00944AFC" w:rsidRPr="00F7387A" w:rsidRDefault="00094DAB" w:rsidP="006375D9">
      <w:pPr>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E503B9" w:rsidRPr="00F7387A">
        <w:rPr>
          <w:rFonts w:ascii="Times New Roman" w:hAnsi="Times New Roman" w:cs="Times New Roman"/>
          <w:b/>
          <w:bCs/>
          <w:sz w:val="24"/>
          <w:szCs w:val="24"/>
        </w:rPr>
        <w:t xml:space="preserve">OBRAZLOŽENJE OPĆEG DIJELA </w:t>
      </w:r>
      <w:r w:rsidR="00944AFC" w:rsidRPr="00F7387A">
        <w:rPr>
          <w:rFonts w:ascii="Times New Roman" w:hAnsi="Times New Roman" w:cs="Times New Roman"/>
          <w:b/>
          <w:bCs/>
          <w:sz w:val="24"/>
          <w:szCs w:val="24"/>
        </w:rPr>
        <w:t>IZVRŠENJ</w:t>
      </w:r>
      <w:r w:rsidR="00E503B9" w:rsidRPr="00F7387A">
        <w:rPr>
          <w:rFonts w:ascii="Times New Roman" w:hAnsi="Times New Roman" w:cs="Times New Roman"/>
          <w:b/>
          <w:bCs/>
          <w:sz w:val="24"/>
          <w:szCs w:val="24"/>
        </w:rPr>
        <w:t>A</w:t>
      </w:r>
      <w:r w:rsidR="00944AFC" w:rsidRPr="00F7387A">
        <w:rPr>
          <w:rFonts w:ascii="Times New Roman" w:hAnsi="Times New Roman" w:cs="Times New Roman"/>
          <w:b/>
          <w:bCs/>
          <w:sz w:val="24"/>
          <w:szCs w:val="24"/>
        </w:rPr>
        <w:t xml:space="preserve"> FINANCIJSKOG PLANA ZA 202</w:t>
      </w:r>
      <w:r w:rsidR="00C57833" w:rsidRPr="00F7387A">
        <w:rPr>
          <w:rFonts w:ascii="Times New Roman" w:hAnsi="Times New Roman" w:cs="Times New Roman"/>
          <w:b/>
          <w:bCs/>
          <w:sz w:val="24"/>
          <w:szCs w:val="24"/>
        </w:rPr>
        <w:t>5</w:t>
      </w:r>
      <w:r w:rsidR="00944AFC" w:rsidRPr="00F7387A">
        <w:rPr>
          <w:rFonts w:ascii="Times New Roman" w:hAnsi="Times New Roman" w:cs="Times New Roman"/>
          <w:b/>
          <w:bCs/>
          <w:sz w:val="24"/>
          <w:szCs w:val="24"/>
        </w:rPr>
        <w:t>. GODINU</w:t>
      </w:r>
      <w:r w:rsidR="00E503B9" w:rsidRPr="00F7387A">
        <w:rPr>
          <w:rFonts w:ascii="Times New Roman" w:hAnsi="Times New Roman" w:cs="Times New Roman"/>
          <w:b/>
          <w:bCs/>
          <w:sz w:val="24"/>
          <w:szCs w:val="24"/>
        </w:rPr>
        <w:t xml:space="preserve"> </w:t>
      </w:r>
    </w:p>
    <w:p w14:paraId="6233B3A2" w14:textId="5A060430" w:rsidR="009E6600" w:rsidRPr="00F7387A" w:rsidRDefault="005A5940" w:rsidP="006375D9">
      <w:pPr>
        <w:jc w:val="both"/>
        <w:rPr>
          <w:rFonts w:ascii="Times New Roman" w:hAnsi="Times New Roman" w:cs="Times New Roman"/>
          <w:sz w:val="24"/>
          <w:szCs w:val="24"/>
        </w:rPr>
      </w:pPr>
      <w:r w:rsidRPr="00F7387A">
        <w:rPr>
          <w:rFonts w:ascii="Times New Roman" w:hAnsi="Times New Roman" w:cs="Times New Roman"/>
          <w:sz w:val="24"/>
          <w:szCs w:val="24"/>
        </w:rPr>
        <w:t>Prema čl.52 st.7 Pravilnika o polugodišnjem i godišnjem izvještaju o izvršenju proračuna i financijskog plana (NN 85/23) proračunski korisnici Ministarstva znanosti, obrazovanja i mladih dužni su upravljačkom tijelu dostaviti na usvajanje prijedlog godišnjeg izvještaja o izvršenju financijskog plana za 2025. godinu do 31. ožujka 2026. godine, nakon čega se dostavlja Ministarstvu.</w:t>
      </w:r>
    </w:p>
    <w:p w14:paraId="1BEEE9C5" w14:textId="437E8E95" w:rsidR="00E2311F" w:rsidRPr="00F7387A" w:rsidRDefault="00E2311F" w:rsidP="006375D9">
      <w:pPr>
        <w:jc w:val="both"/>
        <w:rPr>
          <w:rFonts w:ascii="Times New Roman" w:hAnsi="Times New Roman" w:cs="Times New Roman"/>
          <w:sz w:val="24"/>
          <w:szCs w:val="24"/>
        </w:rPr>
      </w:pPr>
      <w:r w:rsidRPr="00F7387A">
        <w:rPr>
          <w:rFonts w:ascii="Times New Roman" w:hAnsi="Times New Roman" w:cs="Times New Roman"/>
          <w:sz w:val="24"/>
          <w:szCs w:val="24"/>
        </w:rPr>
        <w:t>Sadržaj godišnjeg izvještaja o izvršenju financijskog plana zadani su Pravilnikom o polugodišnjem i godišnjem izvještaju o izvršenju proračuna i financijskog plana (NN 85/23), a tabelarne predloške je oblikovalo nadležno ministarstvo.</w:t>
      </w:r>
    </w:p>
    <w:p w14:paraId="25D0C1F8" w14:textId="6D1C66B9" w:rsidR="009E6600" w:rsidRPr="00F7387A" w:rsidRDefault="00C85062" w:rsidP="009E6600">
      <w:pPr>
        <w:jc w:val="both"/>
        <w:rPr>
          <w:rFonts w:ascii="Times New Roman" w:hAnsi="Times New Roman" w:cs="Times New Roman"/>
          <w:sz w:val="24"/>
          <w:szCs w:val="24"/>
        </w:rPr>
      </w:pPr>
      <w:r w:rsidRPr="00F7387A">
        <w:rPr>
          <w:rFonts w:ascii="Times New Roman" w:hAnsi="Times New Roman" w:cs="Times New Roman"/>
          <w:sz w:val="24"/>
          <w:szCs w:val="24"/>
        </w:rPr>
        <w:t>O</w:t>
      </w:r>
      <w:r w:rsidR="003D3477" w:rsidRPr="00F7387A">
        <w:rPr>
          <w:rFonts w:ascii="Times New Roman" w:hAnsi="Times New Roman" w:cs="Times New Roman"/>
          <w:sz w:val="24"/>
          <w:szCs w:val="24"/>
        </w:rPr>
        <w:t>brazloženje općeg dijela Izvještaja o izvršenju financijskog plana obuhvaća niz prikaza izvršenja kroz tabele priloga „Izvještaj o izvršenju financijskog plana</w:t>
      </w:r>
      <w:r w:rsidR="00C72ECE" w:rsidRPr="00F7387A">
        <w:rPr>
          <w:rFonts w:ascii="Times New Roman" w:hAnsi="Times New Roman" w:cs="Times New Roman"/>
          <w:sz w:val="24"/>
          <w:szCs w:val="24"/>
        </w:rPr>
        <w:t xml:space="preserve"> za 202</w:t>
      </w:r>
      <w:r w:rsidR="005A5940" w:rsidRPr="00F7387A">
        <w:rPr>
          <w:rFonts w:ascii="Times New Roman" w:hAnsi="Times New Roman" w:cs="Times New Roman"/>
          <w:sz w:val="24"/>
          <w:szCs w:val="24"/>
        </w:rPr>
        <w:t>5</w:t>
      </w:r>
      <w:r w:rsidR="00C72ECE" w:rsidRPr="00F7387A">
        <w:rPr>
          <w:rFonts w:ascii="Times New Roman" w:hAnsi="Times New Roman" w:cs="Times New Roman"/>
          <w:sz w:val="24"/>
          <w:szCs w:val="24"/>
        </w:rPr>
        <w:t>. godinu</w:t>
      </w:r>
      <w:r w:rsidR="003D3477" w:rsidRPr="00F7387A">
        <w:rPr>
          <w:rFonts w:ascii="Times New Roman" w:hAnsi="Times New Roman" w:cs="Times New Roman"/>
          <w:sz w:val="24"/>
          <w:szCs w:val="24"/>
        </w:rPr>
        <w:t>“</w:t>
      </w:r>
      <w:r w:rsidR="00C72ECE" w:rsidRPr="00F7387A">
        <w:rPr>
          <w:rFonts w:ascii="Times New Roman" w:hAnsi="Times New Roman" w:cs="Times New Roman"/>
          <w:sz w:val="24"/>
          <w:szCs w:val="24"/>
        </w:rPr>
        <w:t xml:space="preserve"> </w:t>
      </w:r>
      <w:r w:rsidR="003D3477" w:rsidRPr="00F7387A">
        <w:rPr>
          <w:rFonts w:ascii="Times New Roman" w:hAnsi="Times New Roman" w:cs="Times New Roman"/>
          <w:sz w:val="24"/>
          <w:szCs w:val="24"/>
        </w:rPr>
        <w:t xml:space="preserve"> koj</w:t>
      </w:r>
      <w:r w:rsidR="00DB1586" w:rsidRPr="00F7387A">
        <w:rPr>
          <w:rFonts w:ascii="Times New Roman" w:hAnsi="Times New Roman" w:cs="Times New Roman"/>
          <w:sz w:val="24"/>
          <w:szCs w:val="24"/>
        </w:rPr>
        <w:t>i</w:t>
      </w:r>
      <w:r w:rsidR="003D3477" w:rsidRPr="00F7387A">
        <w:rPr>
          <w:rFonts w:ascii="Times New Roman" w:hAnsi="Times New Roman" w:cs="Times New Roman"/>
          <w:sz w:val="24"/>
          <w:szCs w:val="24"/>
        </w:rPr>
        <w:t xml:space="preserve"> se sastoj</w:t>
      </w:r>
      <w:r w:rsidR="00DB1586" w:rsidRPr="00F7387A">
        <w:rPr>
          <w:rFonts w:ascii="Times New Roman" w:hAnsi="Times New Roman" w:cs="Times New Roman"/>
          <w:sz w:val="24"/>
          <w:szCs w:val="24"/>
        </w:rPr>
        <w:t>i</w:t>
      </w:r>
      <w:r w:rsidR="003D3477" w:rsidRPr="00F7387A">
        <w:rPr>
          <w:rFonts w:ascii="Times New Roman" w:hAnsi="Times New Roman" w:cs="Times New Roman"/>
          <w:sz w:val="24"/>
          <w:szCs w:val="24"/>
        </w:rPr>
        <w:t xml:space="preserve"> od:</w:t>
      </w:r>
    </w:p>
    <w:p w14:paraId="261FE4BC" w14:textId="7CFFA37A" w:rsidR="00126A7A" w:rsidRPr="00F7387A" w:rsidRDefault="00126A7A" w:rsidP="003935F6">
      <w:pPr>
        <w:pStyle w:val="ListParagraph"/>
        <w:numPr>
          <w:ilvl w:val="0"/>
          <w:numId w:val="5"/>
        </w:numPr>
        <w:jc w:val="both"/>
        <w:rPr>
          <w:rFonts w:ascii="Times New Roman" w:hAnsi="Times New Roman" w:cs="Times New Roman"/>
          <w:sz w:val="24"/>
          <w:szCs w:val="24"/>
        </w:rPr>
      </w:pPr>
      <w:r w:rsidRPr="00F7387A">
        <w:rPr>
          <w:rFonts w:ascii="Times New Roman" w:hAnsi="Times New Roman" w:cs="Times New Roman"/>
          <w:sz w:val="24"/>
          <w:szCs w:val="24"/>
        </w:rPr>
        <w:t>Sažetka Računa prihoda i rashoda i Računa financiranja </w:t>
      </w:r>
      <w:r w:rsidR="00DB1586" w:rsidRPr="00F7387A">
        <w:rPr>
          <w:rFonts w:ascii="Times New Roman" w:hAnsi="Times New Roman" w:cs="Times New Roman"/>
          <w:sz w:val="24"/>
          <w:szCs w:val="24"/>
        </w:rPr>
        <w:t>(A)</w:t>
      </w:r>
    </w:p>
    <w:p w14:paraId="3096C023" w14:textId="5818F3F2" w:rsidR="00126A7A" w:rsidRPr="00F7387A" w:rsidRDefault="003935F6" w:rsidP="003935F6">
      <w:pPr>
        <w:pStyle w:val="NormalWeb"/>
        <w:ind w:left="360"/>
        <w:rPr>
          <w:lang w:val="hr-HR"/>
        </w:rPr>
      </w:pPr>
      <w:r w:rsidRPr="00F7387A">
        <w:rPr>
          <w:lang w:val="hr-HR"/>
        </w:rPr>
        <w:t xml:space="preserve">A.1 </w:t>
      </w:r>
      <w:r w:rsidR="00126A7A" w:rsidRPr="00F7387A">
        <w:rPr>
          <w:lang w:val="hr-HR"/>
        </w:rPr>
        <w:t xml:space="preserve">Računa prihoda i rashoda: </w:t>
      </w:r>
    </w:p>
    <w:p w14:paraId="2255CF44" w14:textId="441A5524" w:rsidR="00126A7A" w:rsidRPr="00F7387A" w:rsidRDefault="00126A7A" w:rsidP="00126A7A">
      <w:pPr>
        <w:pStyle w:val="NormalWeb"/>
        <w:numPr>
          <w:ilvl w:val="0"/>
          <w:numId w:val="3"/>
        </w:numPr>
        <w:rPr>
          <w:lang w:val="hr-HR"/>
        </w:rPr>
      </w:pPr>
      <w:r w:rsidRPr="00F7387A">
        <w:rPr>
          <w:lang w:val="hr-HR"/>
        </w:rPr>
        <w:t>Izvještaj o prihodima prema eko</w:t>
      </w:r>
      <w:r w:rsidR="006660E7" w:rsidRPr="00F7387A">
        <w:rPr>
          <w:lang w:val="hr-HR"/>
        </w:rPr>
        <w:t>no</w:t>
      </w:r>
      <w:r w:rsidRPr="00F7387A">
        <w:rPr>
          <w:lang w:val="hr-HR"/>
        </w:rPr>
        <w:t>mskoj klasifikaciji (A1)</w:t>
      </w:r>
    </w:p>
    <w:p w14:paraId="3F7E19CC" w14:textId="0A42D690" w:rsidR="00126A7A" w:rsidRPr="00F7387A" w:rsidRDefault="00126A7A" w:rsidP="00126A7A">
      <w:pPr>
        <w:pStyle w:val="NormalWeb"/>
        <w:numPr>
          <w:ilvl w:val="0"/>
          <w:numId w:val="3"/>
        </w:numPr>
        <w:rPr>
          <w:lang w:val="hr-HR"/>
        </w:rPr>
      </w:pPr>
      <w:r w:rsidRPr="00F7387A">
        <w:rPr>
          <w:lang w:val="hr-HR"/>
        </w:rPr>
        <w:t>Izvještaj o rashodima prema ekonomskoj klasifikaciji (A1)</w:t>
      </w:r>
    </w:p>
    <w:p w14:paraId="50FD214B" w14:textId="412E1B4B" w:rsidR="00126A7A" w:rsidRPr="00F7387A" w:rsidRDefault="00126A7A" w:rsidP="00126A7A">
      <w:pPr>
        <w:pStyle w:val="NormalWeb"/>
        <w:numPr>
          <w:ilvl w:val="0"/>
          <w:numId w:val="3"/>
        </w:numPr>
        <w:rPr>
          <w:lang w:val="hr-HR"/>
        </w:rPr>
      </w:pPr>
      <w:r w:rsidRPr="00F7387A">
        <w:rPr>
          <w:lang w:val="hr-HR"/>
        </w:rPr>
        <w:t>Izvještaj o prihodima i rashodima prema izvorima financiranja (A2)</w:t>
      </w:r>
    </w:p>
    <w:p w14:paraId="19F31FED" w14:textId="20D9E2F1" w:rsidR="00126A7A" w:rsidRPr="00F7387A" w:rsidRDefault="00126A7A" w:rsidP="00126A7A">
      <w:pPr>
        <w:pStyle w:val="NormalWeb"/>
        <w:numPr>
          <w:ilvl w:val="0"/>
          <w:numId w:val="3"/>
        </w:numPr>
        <w:rPr>
          <w:lang w:val="hr-HR"/>
        </w:rPr>
      </w:pPr>
      <w:r w:rsidRPr="00F7387A">
        <w:rPr>
          <w:lang w:val="hr-HR"/>
        </w:rPr>
        <w:t>Izvještaj o rashodima prema funkcijskoj klasifikaciji (A3)</w:t>
      </w:r>
    </w:p>
    <w:p w14:paraId="1F1C8D3C" w14:textId="77777777" w:rsidR="00126A7A" w:rsidRPr="00F7387A" w:rsidRDefault="00126A7A" w:rsidP="00126A7A">
      <w:pPr>
        <w:pStyle w:val="NormalWeb"/>
        <w:ind w:left="720"/>
        <w:rPr>
          <w:lang w:val="hr-HR"/>
        </w:rPr>
      </w:pPr>
      <w:r w:rsidRPr="00F7387A">
        <w:rPr>
          <w:lang w:val="hr-HR"/>
        </w:rPr>
        <w:t> </w:t>
      </w:r>
    </w:p>
    <w:p w14:paraId="2562EAE0" w14:textId="0290F8F6" w:rsidR="00126A7A" w:rsidRPr="00F7387A" w:rsidRDefault="003935F6" w:rsidP="003935F6">
      <w:pPr>
        <w:pStyle w:val="NormalWeb"/>
        <w:ind w:left="360"/>
        <w:rPr>
          <w:lang w:val="hr-HR"/>
        </w:rPr>
      </w:pPr>
      <w:r w:rsidRPr="00F7387A">
        <w:rPr>
          <w:lang w:val="hr-HR"/>
        </w:rPr>
        <w:t xml:space="preserve">A.2 </w:t>
      </w:r>
      <w:r w:rsidR="00126A7A" w:rsidRPr="00F7387A">
        <w:rPr>
          <w:lang w:val="hr-HR"/>
        </w:rPr>
        <w:t>Računa financiranja:</w:t>
      </w:r>
    </w:p>
    <w:p w14:paraId="5ED95011" w14:textId="0B1BD3EC" w:rsidR="00126A7A" w:rsidRPr="00F7387A" w:rsidRDefault="00126A7A" w:rsidP="00126A7A">
      <w:pPr>
        <w:pStyle w:val="NormalWeb"/>
        <w:numPr>
          <w:ilvl w:val="0"/>
          <w:numId w:val="6"/>
        </w:numPr>
        <w:rPr>
          <w:lang w:val="hr-HR"/>
        </w:rPr>
      </w:pPr>
      <w:r w:rsidRPr="00F7387A">
        <w:rPr>
          <w:lang w:val="hr-HR"/>
        </w:rPr>
        <w:t>Izvještaj računa financiranja prema ekonomskoj klasifikaciji (B1)</w:t>
      </w:r>
    </w:p>
    <w:p w14:paraId="51E17AF6" w14:textId="12F744F6" w:rsidR="00126A7A" w:rsidRPr="00F7387A" w:rsidRDefault="00126A7A" w:rsidP="00126A7A">
      <w:pPr>
        <w:pStyle w:val="NormalWeb"/>
        <w:numPr>
          <w:ilvl w:val="0"/>
          <w:numId w:val="6"/>
        </w:numPr>
        <w:rPr>
          <w:lang w:val="hr-HR"/>
        </w:rPr>
      </w:pPr>
      <w:r w:rsidRPr="00F7387A">
        <w:rPr>
          <w:lang w:val="hr-HR"/>
        </w:rPr>
        <w:t>Izvještaj računa financiranja prema izvorima financiranja (B2)</w:t>
      </w:r>
    </w:p>
    <w:p w14:paraId="6DE1D4F2" w14:textId="77777777" w:rsidR="00936A3D" w:rsidRPr="00F7387A" w:rsidRDefault="00936A3D" w:rsidP="006375D9">
      <w:pPr>
        <w:jc w:val="both"/>
        <w:rPr>
          <w:rFonts w:ascii="Times New Roman" w:hAnsi="Times New Roman" w:cs="Times New Roman"/>
          <w:sz w:val="24"/>
          <w:szCs w:val="24"/>
        </w:rPr>
      </w:pPr>
    </w:p>
    <w:p w14:paraId="41B3C368" w14:textId="7FD598C0" w:rsidR="00E2311F" w:rsidRPr="00F7387A" w:rsidRDefault="00E2311F" w:rsidP="00E2311F">
      <w:pPr>
        <w:jc w:val="both"/>
        <w:rPr>
          <w:rFonts w:ascii="Times New Roman" w:hAnsi="Times New Roman" w:cs="Times New Roman"/>
          <w:sz w:val="24"/>
          <w:szCs w:val="24"/>
        </w:rPr>
      </w:pPr>
      <w:r w:rsidRPr="00F7387A">
        <w:rPr>
          <w:rFonts w:ascii="Times New Roman" w:hAnsi="Times New Roman" w:cs="Times New Roman"/>
          <w:sz w:val="24"/>
          <w:szCs w:val="24"/>
        </w:rPr>
        <w:t>Izvještaj o izvršenju financijskog plana za 2025. godinu je sastavljen po načelu modificiranog novčanog tijeka za razliku od metode izrade godišnjih financijskih izvještaja koji se sastavljaju metodom modificiranog proračunskog računovodstva prema nastanku poslovnog događaja.</w:t>
      </w:r>
    </w:p>
    <w:p w14:paraId="6C82503D" w14:textId="77777777" w:rsidR="00F0407F" w:rsidRPr="006B607B" w:rsidRDefault="00F0407F" w:rsidP="006375D9">
      <w:pPr>
        <w:jc w:val="both"/>
        <w:rPr>
          <w:rFonts w:ascii="Times New Roman" w:hAnsi="Times New Roman" w:cs="Times New Roman"/>
          <w:sz w:val="24"/>
          <w:szCs w:val="24"/>
        </w:rPr>
      </w:pPr>
    </w:p>
    <w:p w14:paraId="7AA7BAD3" w14:textId="77777777" w:rsidR="005D335C" w:rsidRPr="006B607B" w:rsidRDefault="005D335C" w:rsidP="006375D9">
      <w:pPr>
        <w:jc w:val="both"/>
        <w:rPr>
          <w:rFonts w:ascii="Times New Roman" w:hAnsi="Times New Roman" w:cs="Times New Roman"/>
          <w:sz w:val="24"/>
          <w:szCs w:val="24"/>
        </w:rPr>
      </w:pPr>
    </w:p>
    <w:p w14:paraId="6F367D41" w14:textId="1CB9F619" w:rsidR="00C72ECE" w:rsidRPr="00F7387A" w:rsidRDefault="00C72ECE" w:rsidP="0066624A">
      <w:pPr>
        <w:pStyle w:val="ListParagraph"/>
        <w:numPr>
          <w:ilvl w:val="0"/>
          <w:numId w:val="10"/>
        </w:numPr>
        <w:jc w:val="both"/>
        <w:rPr>
          <w:rFonts w:ascii="Times New Roman" w:hAnsi="Times New Roman" w:cs="Times New Roman"/>
          <w:sz w:val="24"/>
          <w:szCs w:val="24"/>
        </w:rPr>
      </w:pPr>
      <w:r w:rsidRPr="00F7387A">
        <w:rPr>
          <w:rFonts w:ascii="Times New Roman" w:hAnsi="Times New Roman" w:cs="Times New Roman"/>
          <w:sz w:val="24"/>
          <w:szCs w:val="24"/>
        </w:rPr>
        <w:t>SAŽETAK RAČUNA PRIHODA I RASHODA I RAČUNA FINANCIRANJA</w:t>
      </w:r>
    </w:p>
    <w:p w14:paraId="04F38C73" w14:textId="5E002C9E" w:rsidR="009E6600" w:rsidRPr="00F7387A" w:rsidRDefault="00F903B5" w:rsidP="006375D9">
      <w:pPr>
        <w:jc w:val="both"/>
        <w:rPr>
          <w:rFonts w:ascii="Times New Roman" w:hAnsi="Times New Roman" w:cs="Times New Roman"/>
          <w:sz w:val="24"/>
          <w:szCs w:val="24"/>
        </w:rPr>
      </w:pPr>
      <w:r w:rsidRPr="00F7387A">
        <w:rPr>
          <w:rFonts w:ascii="Times New Roman" w:hAnsi="Times New Roman" w:cs="Times New Roman"/>
          <w:sz w:val="24"/>
          <w:szCs w:val="24"/>
        </w:rPr>
        <w:t>U sažetku Računa prihoda i rashoda i Računa financiranja prikazan</w:t>
      </w:r>
      <w:r w:rsidR="00E22C76" w:rsidRPr="00F7387A">
        <w:rPr>
          <w:rFonts w:ascii="Times New Roman" w:hAnsi="Times New Roman" w:cs="Times New Roman"/>
          <w:sz w:val="24"/>
          <w:szCs w:val="24"/>
        </w:rPr>
        <w:t xml:space="preserve">i su ukupni </w:t>
      </w:r>
      <w:r w:rsidR="00C30C00" w:rsidRPr="00F7387A">
        <w:rPr>
          <w:rFonts w:ascii="Times New Roman" w:hAnsi="Times New Roman" w:cs="Times New Roman"/>
          <w:sz w:val="24"/>
          <w:szCs w:val="24"/>
        </w:rPr>
        <w:t xml:space="preserve">planirani i ostvareni </w:t>
      </w:r>
      <w:r w:rsidR="00E22C76" w:rsidRPr="00F7387A">
        <w:rPr>
          <w:rFonts w:ascii="Times New Roman" w:hAnsi="Times New Roman" w:cs="Times New Roman"/>
          <w:sz w:val="24"/>
          <w:szCs w:val="24"/>
        </w:rPr>
        <w:t>prihodi i rashodi</w:t>
      </w:r>
      <w:r w:rsidR="00C17840" w:rsidRPr="00F7387A">
        <w:rPr>
          <w:rFonts w:ascii="Times New Roman" w:hAnsi="Times New Roman" w:cs="Times New Roman"/>
          <w:sz w:val="24"/>
          <w:szCs w:val="24"/>
        </w:rPr>
        <w:t>, primici i izdaci s donosom i odnosom sredstava</w:t>
      </w:r>
      <w:r w:rsidR="00C30C00" w:rsidRPr="00F7387A">
        <w:rPr>
          <w:rFonts w:ascii="Times New Roman" w:hAnsi="Times New Roman" w:cs="Times New Roman"/>
          <w:sz w:val="24"/>
          <w:szCs w:val="24"/>
        </w:rPr>
        <w:t xml:space="preserve">. </w:t>
      </w:r>
      <w:r w:rsidR="002D2AA3" w:rsidRPr="00F7387A">
        <w:rPr>
          <w:rFonts w:ascii="Times New Roman" w:hAnsi="Times New Roman" w:cs="Times New Roman"/>
          <w:sz w:val="24"/>
          <w:szCs w:val="24"/>
        </w:rPr>
        <w:t>Prikazana su dva indeksa: indeks i</w:t>
      </w:r>
      <w:r w:rsidR="005D335C" w:rsidRPr="00F7387A">
        <w:rPr>
          <w:rFonts w:ascii="Times New Roman" w:hAnsi="Times New Roman" w:cs="Times New Roman"/>
          <w:sz w:val="24"/>
          <w:szCs w:val="24"/>
        </w:rPr>
        <w:t>zvršenj</w:t>
      </w:r>
      <w:r w:rsidR="002D2AA3" w:rsidRPr="00F7387A">
        <w:rPr>
          <w:rFonts w:ascii="Times New Roman" w:hAnsi="Times New Roman" w:cs="Times New Roman"/>
          <w:sz w:val="24"/>
          <w:szCs w:val="24"/>
        </w:rPr>
        <w:t>a</w:t>
      </w:r>
      <w:r w:rsidRPr="00F7387A">
        <w:rPr>
          <w:rFonts w:ascii="Times New Roman" w:hAnsi="Times New Roman" w:cs="Times New Roman"/>
          <w:sz w:val="24"/>
          <w:szCs w:val="24"/>
        </w:rPr>
        <w:t xml:space="preserve"> </w:t>
      </w:r>
      <w:r w:rsidR="002D2AA3" w:rsidRPr="00F7387A">
        <w:rPr>
          <w:rFonts w:ascii="Times New Roman" w:hAnsi="Times New Roman" w:cs="Times New Roman"/>
          <w:sz w:val="24"/>
          <w:szCs w:val="24"/>
        </w:rPr>
        <w:t xml:space="preserve">ostvarenih rashoda </w:t>
      </w:r>
      <w:r w:rsidRPr="00F7387A">
        <w:rPr>
          <w:rFonts w:ascii="Times New Roman" w:hAnsi="Times New Roman" w:cs="Times New Roman"/>
          <w:sz w:val="24"/>
          <w:szCs w:val="24"/>
        </w:rPr>
        <w:t>u 202</w:t>
      </w:r>
      <w:r w:rsidR="00E2311F" w:rsidRPr="00F7387A">
        <w:rPr>
          <w:rFonts w:ascii="Times New Roman" w:hAnsi="Times New Roman" w:cs="Times New Roman"/>
          <w:sz w:val="24"/>
          <w:szCs w:val="24"/>
        </w:rPr>
        <w:t>5</w:t>
      </w:r>
      <w:r w:rsidRPr="00F7387A">
        <w:rPr>
          <w:rFonts w:ascii="Times New Roman" w:hAnsi="Times New Roman" w:cs="Times New Roman"/>
          <w:sz w:val="24"/>
          <w:szCs w:val="24"/>
        </w:rPr>
        <w:t xml:space="preserve">. </w:t>
      </w:r>
      <w:r w:rsidR="002D2AA3" w:rsidRPr="00F7387A">
        <w:rPr>
          <w:rFonts w:ascii="Times New Roman" w:hAnsi="Times New Roman" w:cs="Times New Roman"/>
          <w:sz w:val="24"/>
          <w:szCs w:val="24"/>
        </w:rPr>
        <w:t>godini u odnosu na</w:t>
      </w:r>
      <w:r w:rsidR="005D335C" w:rsidRPr="00F7387A">
        <w:rPr>
          <w:rFonts w:ascii="Times New Roman" w:hAnsi="Times New Roman" w:cs="Times New Roman"/>
          <w:sz w:val="24"/>
          <w:szCs w:val="24"/>
        </w:rPr>
        <w:t xml:space="preserve"> izvršenj</w:t>
      </w:r>
      <w:r w:rsidR="002D2AA3" w:rsidRPr="00F7387A">
        <w:rPr>
          <w:rFonts w:ascii="Times New Roman" w:hAnsi="Times New Roman" w:cs="Times New Roman"/>
          <w:sz w:val="24"/>
          <w:szCs w:val="24"/>
        </w:rPr>
        <w:t xml:space="preserve">e rashoda </w:t>
      </w:r>
      <w:r w:rsidR="005D335C" w:rsidRPr="00F7387A">
        <w:rPr>
          <w:rFonts w:ascii="Times New Roman" w:hAnsi="Times New Roman" w:cs="Times New Roman"/>
          <w:sz w:val="24"/>
          <w:szCs w:val="24"/>
        </w:rPr>
        <w:t>u 202</w:t>
      </w:r>
      <w:r w:rsidR="00E2311F" w:rsidRPr="00F7387A">
        <w:rPr>
          <w:rFonts w:ascii="Times New Roman" w:hAnsi="Times New Roman" w:cs="Times New Roman"/>
          <w:sz w:val="24"/>
          <w:szCs w:val="24"/>
        </w:rPr>
        <w:t>4</w:t>
      </w:r>
      <w:r w:rsidR="005D335C" w:rsidRPr="00F7387A">
        <w:rPr>
          <w:rFonts w:ascii="Times New Roman" w:hAnsi="Times New Roman" w:cs="Times New Roman"/>
          <w:sz w:val="24"/>
          <w:szCs w:val="24"/>
        </w:rPr>
        <w:t>. godini</w:t>
      </w:r>
      <w:r w:rsidR="002D2AA3" w:rsidRPr="00F7387A">
        <w:rPr>
          <w:rFonts w:ascii="Times New Roman" w:hAnsi="Times New Roman" w:cs="Times New Roman"/>
          <w:sz w:val="24"/>
          <w:szCs w:val="24"/>
        </w:rPr>
        <w:t xml:space="preserve"> i indeks ostvarenja financijskog plana.</w:t>
      </w:r>
    </w:p>
    <w:p w14:paraId="45717BBE" w14:textId="356C54B0" w:rsidR="00F903B5" w:rsidRPr="006B607B" w:rsidRDefault="00E2311F" w:rsidP="006375D9">
      <w:pPr>
        <w:jc w:val="both"/>
        <w:rPr>
          <w:rFonts w:ascii="Times New Roman" w:hAnsi="Times New Roman" w:cs="Times New Roman"/>
          <w:sz w:val="24"/>
          <w:szCs w:val="24"/>
        </w:rPr>
      </w:pPr>
      <w:r w:rsidRPr="00E2311F">
        <w:rPr>
          <w:noProof/>
        </w:rPr>
        <w:lastRenderedPageBreak/>
        <w:drawing>
          <wp:inline distT="0" distB="0" distL="0" distR="0" wp14:anchorId="17F9C01A" wp14:editId="4FE0EF28">
            <wp:extent cx="5760720" cy="2726871"/>
            <wp:effectExtent l="0" t="0" r="0" b="0"/>
            <wp:docPr id="26165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55825" name=""/>
                    <pic:cNvPicPr/>
                  </pic:nvPicPr>
                  <pic:blipFill>
                    <a:blip r:embed="rId5"/>
                    <a:stretch>
                      <a:fillRect/>
                    </a:stretch>
                  </pic:blipFill>
                  <pic:spPr>
                    <a:xfrm>
                      <a:off x="0" y="0"/>
                      <a:ext cx="5775452" cy="2733844"/>
                    </a:xfrm>
                    <a:prstGeom prst="rect">
                      <a:avLst/>
                    </a:prstGeom>
                  </pic:spPr>
                </pic:pic>
              </a:graphicData>
            </a:graphic>
          </wp:inline>
        </w:drawing>
      </w:r>
    </w:p>
    <w:p w14:paraId="490967D3" w14:textId="77777777" w:rsidR="00F0407F" w:rsidRPr="006B607B" w:rsidRDefault="00F0407F" w:rsidP="006375D9">
      <w:pPr>
        <w:jc w:val="both"/>
        <w:rPr>
          <w:rFonts w:ascii="Times New Roman" w:hAnsi="Times New Roman" w:cs="Times New Roman"/>
          <w:sz w:val="24"/>
          <w:szCs w:val="24"/>
        </w:rPr>
      </w:pPr>
    </w:p>
    <w:p w14:paraId="2FD14D72" w14:textId="7DB94E9A" w:rsidR="00C72ECE" w:rsidRPr="00F7387A" w:rsidRDefault="00C72ECE" w:rsidP="006375D9">
      <w:pPr>
        <w:jc w:val="both"/>
        <w:rPr>
          <w:rFonts w:ascii="Times New Roman" w:hAnsi="Times New Roman" w:cs="Times New Roman"/>
          <w:sz w:val="24"/>
          <w:szCs w:val="24"/>
        </w:rPr>
      </w:pPr>
      <w:r w:rsidRPr="00F7387A">
        <w:rPr>
          <w:rFonts w:ascii="Times New Roman" w:hAnsi="Times New Roman" w:cs="Times New Roman"/>
          <w:sz w:val="24"/>
          <w:szCs w:val="24"/>
        </w:rPr>
        <w:t>Donos sredstava iz prethodne godine</w:t>
      </w:r>
    </w:p>
    <w:p w14:paraId="27950923" w14:textId="2C0EE4FE" w:rsidR="00205C01" w:rsidRPr="00F7387A" w:rsidRDefault="00673BF0" w:rsidP="006375D9">
      <w:pPr>
        <w:jc w:val="both"/>
        <w:rPr>
          <w:rFonts w:ascii="Times New Roman" w:hAnsi="Times New Roman" w:cs="Times New Roman"/>
          <w:sz w:val="24"/>
          <w:szCs w:val="24"/>
        </w:rPr>
      </w:pPr>
      <w:r w:rsidRPr="00F7387A">
        <w:rPr>
          <w:rFonts w:ascii="Times New Roman" w:hAnsi="Times New Roman" w:cs="Times New Roman"/>
          <w:sz w:val="24"/>
          <w:szCs w:val="24"/>
        </w:rPr>
        <w:t>Planski i</w:t>
      </w:r>
      <w:r w:rsidR="00C72ECE" w:rsidRPr="00F7387A">
        <w:rPr>
          <w:rFonts w:ascii="Times New Roman" w:hAnsi="Times New Roman" w:cs="Times New Roman"/>
          <w:sz w:val="24"/>
          <w:szCs w:val="24"/>
        </w:rPr>
        <w:t xml:space="preserve">znos </w:t>
      </w:r>
      <w:r w:rsidR="00AD38EA" w:rsidRPr="00F7387A">
        <w:rPr>
          <w:rFonts w:ascii="Times New Roman" w:hAnsi="Times New Roman" w:cs="Times New Roman"/>
          <w:sz w:val="24"/>
          <w:szCs w:val="24"/>
        </w:rPr>
        <w:t>prijenosa</w:t>
      </w:r>
      <w:r w:rsidR="00C72ECE" w:rsidRPr="00F7387A">
        <w:rPr>
          <w:rFonts w:ascii="Times New Roman" w:hAnsi="Times New Roman" w:cs="Times New Roman"/>
          <w:sz w:val="24"/>
          <w:szCs w:val="24"/>
        </w:rPr>
        <w:t xml:space="preserve"> sredstava</w:t>
      </w:r>
      <w:r w:rsidR="00AD38EA" w:rsidRPr="00F7387A">
        <w:rPr>
          <w:rFonts w:ascii="Times New Roman" w:hAnsi="Times New Roman" w:cs="Times New Roman"/>
          <w:sz w:val="24"/>
          <w:szCs w:val="24"/>
        </w:rPr>
        <w:t xml:space="preserve"> iz 2024. u 2025. godinu i</w:t>
      </w:r>
      <w:r w:rsidR="00926FF2" w:rsidRPr="00F7387A">
        <w:rPr>
          <w:rFonts w:ascii="Times New Roman" w:hAnsi="Times New Roman" w:cs="Times New Roman"/>
          <w:sz w:val="24"/>
          <w:szCs w:val="24"/>
        </w:rPr>
        <w:t>znos</w:t>
      </w:r>
      <w:r w:rsidR="00AD38EA" w:rsidRPr="00F7387A">
        <w:rPr>
          <w:rFonts w:ascii="Times New Roman" w:hAnsi="Times New Roman" w:cs="Times New Roman"/>
          <w:sz w:val="24"/>
          <w:szCs w:val="24"/>
        </w:rPr>
        <w:t>i</w:t>
      </w:r>
      <w:r w:rsidR="00926FF2" w:rsidRPr="00F7387A">
        <w:rPr>
          <w:rFonts w:ascii="Times New Roman" w:hAnsi="Times New Roman" w:cs="Times New Roman"/>
          <w:sz w:val="24"/>
          <w:szCs w:val="24"/>
        </w:rPr>
        <w:t xml:space="preserve"> </w:t>
      </w:r>
      <w:r w:rsidR="00AD38EA" w:rsidRPr="00F7387A">
        <w:rPr>
          <w:rFonts w:ascii="Times New Roman" w:hAnsi="Times New Roman" w:cs="Times New Roman"/>
          <w:sz w:val="24"/>
          <w:szCs w:val="24"/>
        </w:rPr>
        <w:t>929</w:t>
      </w:r>
      <w:r w:rsidR="00926FF2" w:rsidRPr="00F7387A">
        <w:rPr>
          <w:rFonts w:ascii="Times New Roman" w:hAnsi="Times New Roman" w:cs="Times New Roman"/>
          <w:sz w:val="24"/>
          <w:szCs w:val="24"/>
        </w:rPr>
        <w:t>.</w:t>
      </w:r>
      <w:r w:rsidR="00AD38EA" w:rsidRPr="00F7387A">
        <w:rPr>
          <w:rFonts w:ascii="Times New Roman" w:hAnsi="Times New Roman" w:cs="Times New Roman"/>
          <w:sz w:val="24"/>
          <w:szCs w:val="24"/>
        </w:rPr>
        <w:t>574</w:t>
      </w:r>
      <w:r w:rsidR="00926FF2" w:rsidRPr="00F7387A">
        <w:rPr>
          <w:rFonts w:ascii="Times New Roman" w:hAnsi="Times New Roman" w:cs="Times New Roman"/>
          <w:sz w:val="24"/>
          <w:szCs w:val="24"/>
        </w:rPr>
        <w:t>,</w:t>
      </w:r>
      <w:r w:rsidR="00AD38EA" w:rsidRPr="00F7387A">
        <w:rPr>
          <w:rFonts w:ascii="Times New Roman" w:hAnsi="Times New Roman" w:cs="Times New Roman"/>
          <w:sz w:val="24"/>
          <w:szCs w:val="24"/>
        </w:rPr>
        <w:t>64 eura</w:t>
      </w:r>
      <w:r w:rsidR="005A0B78" w:rsidRPr="00F7387A">
        <w:rPr>
          <w:rFonts w:ascii="Times New Roman" w:hAnsi="Times New Roman" w:cs="Times New Roman"/>
          <w:sz w:val="24"/>
          <w:szCs w:val="24"/>
        </w:rPr>
        <w:t xml:space="preserve"> dok o</w:t>
      </w:r>
      <w:r w:rsidR="00AD38EA" w:rsidRPr="00F7387A">
        <w:rPr>
          <w:rFonts w:ascii="Times New Roman" w:hAnsi="Times New Roman" w:cs="Times New Roman"/>
          <w:sz w:val="24"/>
          <w:szCs w:val="24"/>
        </w:rPr>
        <w:t xml:space="preserve">stvareni </w:t>
      </w:r>
      <w:r w:rsidR="005A0B78" w:rsidRPr="00F7387A">
        <w:rPr>
          <w:rFonts w:ascii="Times New Roman" w:hAnsi="Times New Roman" w:cs="Times New Roman"/>
          <w:sz w:val="24"/>
          <w:szCs w:val="24"/>
        </w:rPr>
        <w:t>prijenos</w:t>
      </w:r>
      <w:r w:rsidR="00926FF2" w:rsidRPr="00F7387A">
        <w:rPr>
          <w:rFonts w:ascii="Times New Roman" w:hAnsi="Times New Roman" w:cs="Times New Roman"/>
          <w:sz w:val="24"/>
          <w:szCs w:val="24"/>
        </w:rPr>
        <w:t xml:space="preserve"> sredstava utvrđen tijekom 202</w:t>
      </w:r>
      <w:r w:rsidR="00AD38EA" w:rsidRPr="00F7387A">
        <w:rPr>
          <w:rFonts w:ascii="Times New Roman" w:hAnsi="Times New Roman" w:cs="Times New Roman"/>
          <w:sz w:val="24"/>
          <w:szCs w:val="24"/>
        </w:rPr>
        <w:t>5</w:t>
      </w:r>
      <w:r w:rsidR="00926FF2" w:rsidRPr="00F7387A">
        <w:rPr>
          <w:rFonts w:ascii="Times New Roman" w:hAnsi="Times New Roman" w:cs="Times New Roman"/>
          <w:sz w:val="24"/>
          <w:szCs w:val="24"/>
        </w:rPr>
        <w:t>. godine</w:t>
      </w:r>
      <w:r w:rsidR="00AD38EA" w:rsidRPr="00F7387A">
        <w:rPr>
          <w:rFonts w:ascii="Times New Roman" w:hAnsi="Times New Roman" w:cs="Times New Roman"/>
          <w:sz w:val="24"/>
          <w:szCs w:val="24"/>
        </w:rPr>
        <w:t xml:space="preserve"> iznosi 952.374,64 eura </w:t>
      </w:r>
      <w:r w:rsidR="005A0B78" w:rsidRPr="00F7387A">
        <w:rPr>
          <w:rFonts w:ascii="Times New Roman" w:hAnsi="Times New Roman" w:cs="Times New Roman"/>
          <w:sz w:val="24"/>
          <w:szCs w:val="24"/>
        </w:rPr>
        <w:t xml:space="preserve">te je </w:t>
      </w:r>
      <w:r w:rsidR="00AD38EA" w:rsidRPr="00F7387A">
        <w:rPr>
          <w:rFonts w:ascii="Times New Roman" w:hAnsi="Times New Roman" w:cs="Times New Roman"/>
          <w:sz w:val="24"/>
          <w:szCs w:val="24"/>
        </w:rPr>
        <w:t>za 22.800,00 eura veći u odnosu na</w:t>
      </w:r>
      <w:r w:rsidR="005A0B78" w:rsidRPr="00F7387A">
        <w:rPr>
          <w:rFonts w:ascii="Times New Roman" w:hAnsi="Times New Roman" w:cs="Times New Roman"/>
          <w:sz w:val="24"/>
          <w:szCs w:val="24"/>
        </w:rPr>
        <w:t xml:space="preserve"> prijenos sredstava u financijskom planu za 2025.</w:t>
      </w:r>
      <w:r w:rsidR="00AD38EA" w:rsidRPr="00F7387A">
        <w:rPr>
          <w:rFonts w:ascii="Times New Roman" w:hAnsi="Times New Roman" w:cs="Times New Roman"/>
          <w:sz w:val="24"/>
          <w:szCs w:val="24"/>
        </w:rPr>
        <w:t xml:space="preserve"> </w:t>
      </w:r>
      <w:r w:rsidR="005A0B78" w:rsidRPr="00F7387A">
        <w:rPr>
          <w:rFonts w:ascii="Times New Roman" w:hAnsi="Times New Roman" w:cs="Times New Roman"/>
          <w:sz w:val="24"/>
          <w:szCs w:val="24"/>
        </w:rPr>
        <w:t xml:space="preserve">Nabava i plaćanje zamjenskih servera </w:t>
      </w:r>
      <w:r w:rsidR="00E74CFE" w:rsidRPr="00F7387A">
        <w:rPr>
          <w:rFonts w:ascii="Times New Roman" w:hAnsi="Times New Roman" w:cs="Times New Roman"/>
          <w:sz w:val="24"/>
          <w:szCs w:val="24"/>
        </w:rPr>
        <w:t xml:space="preserve">u iznosu od 22.800,00 eura </w:t>
      </w:r>
      <w:r w:rsidR="005A0B78" w:rsidRPr="00F7387A">
        <w:rPr>
          <w:rFonts w:ascii="Times New Roman" w:hAnsi="Times New Roman" w:cs="Times New Roman"/>
          <w:sz w:val="24"/>
          <w:szCs w:val="24"/>
        </w:rPr>
        <w:t>provelo se na kraju 2024. godine iz vlastitih sredstava</w:t>
      </w:r>
      <w:r w:rsidR="00E74CFE" w:rsidRPr="00F7387A">
        <w:rPr>
          <w:rFonts w:ascii="Times New Roman" w:hAnsi="Times New Roman" w:cs="Times New Roman"/>
          <w:sz w:val="24"/>
          <w:szCs w:val="24"/>
        </w:rPr>
        <w:t xml:space="preserve">. Tijekom 2025. godine nadležno ministarstvo nam je refundiralo taj trošak što je predstavljalo </w:t>
      </w:r>
      <w:r w:rsidR="003935F6" w:rsidRPr="00F7387A">
        <w:rPr>
          <w:rFonts w:ascii="Times New Roman" w:hAnsi="Times New Roman" w:cs="Times New Roman"/>
          <w:sz w:val="24"/>
          <w:szCs w:val="24"/>
        </w:rPr>
        <w:t>primitak</w:t>
      </w:r>
      <w:r w:rsidR="00926FF2" w:rsidRPr="00F7387A">
        <w:rPr>
          <w:rFonts w:ascii="Times New Roman" w:hAnsi="Times New Roman" w:cs="Times New Roman"/>
          <w:sz w:val="24"/>
          <w:szCs w:val="24"/>
        </w:rPr>
        <w:t xml:space="preserve"> prihoda za rashode iz pr</w:t>
      </w:r>
      <w:r w:rsidR="00E74CFE" w:rsidRPr="00F7387A">
        <w:rPr>
          <w:rFonts w:ascii="Times New Roman" w:hAnsi="Times New Roman" w:cs="Times New Roman"/>
          <w:sz w:val="24"/>
          <w:szCs w:val="24"/>
        </w:rPr>
        <w:t xml:space="preserve">ethodnog razdoblja. Stoga smo korigirali taj iznos preko rezultata poslovanja kako bi </w:t>
      </w:r>
      <w:r w:rsidR="0046317A" w:rsidRPr="00F7387A">
        <w:rPr>
          <w:rFonts w:ascii="Times New Roman" w:hAnsi="Times New Roman" w:cs="Times New Roman"/>
          <w:sz w:val="24"/>
          <w:szCs w:val="24"/>
        </w:rPr>
        <w:t xml:space="preserve">u 2025. godini </w:t>
      </w:r>
      <w:r w:rsidR="00E74CFE" w:rsidRPr="00F7387A">
        <w:rPr>
          <w:rFonts w:ascii="Times New Roman" w:hAnsi="Times New Roman" w:cs="Times New Roman"/>
          <w:sz w:val="24"/>
          <w:szCs w:val="24"/>
        </w:rPr>
        <w:t>uravnotežili i uskladili prihode i rashode iz proračuna s evidencijama Ekonomskog instituta, Zagreb.</w:t>
      </w:r>
      <w:r w:rsidR="00926FF2" w:rsidRPr="00F7387A">
        <w:rPr>
          <w:rFonts w:ascii="Times New Roman" w:hAnsi="Times New Roman" w:cs="Times New Roman"/>
          <w:sz w:val="24"/>
          <w:szCs w:val="24"/>
        </w:rPr>
        <w:t xml:space="preserve"> </w:t>
      </w:r>
    </w:p>
    <w:p w14:paraId="376A201A" w14:textId="77777777" w:rsidR="00F0407F" w:rsidRPr="00F7387A" w:rsidRDefault="00F0407F" w:rsidP="006375D9">
      <w:pPr>
        <w:jc w:val="both"/>
        <w:rPr>
          <w:rFonts w:ascii="Times New Roman" w:hAnsi="Times New Roman" w:cs="Times New Roman"/>
          <w:sz w:val="24"/>
          <w:szCs w:val="24"/>
        </w:rPr>
      </w:pPr>
    </w:p>
    <w:p w14:paraId="75314215" w14:textId="08E0E97D" w:rsidR="00C72ECE" w:rsidRPr="00F7387A" w:rsidRDefault="00C72ECE" w:rsidP="006375D9">
      <w:pPr>
        <w:jc w:val="both"/>
        <w:rPr>
          <w:rFonts w:ascii="Times New Roman" w:hAnsi="Times New Roman" w:cs="Times New Roman"/>
          <w:sz w:val="24"/>
          <w:szCs w:val="24"/>
        </w:rPr>
      </w:pPr>
      <w:r w:rsidRPr="00F7387A">
        <w:rPr>
          <w:rFonts w:ascii="Times New Roman" w:hAnsi="Times New Roman" w:cs="Times New Roman"/>
          <w:sz w:val="24"/>
          <w:szCs w:val="24"/>
        </w:rPr>
        <w:t>Ukupni prihodi i rashodi</w:t>
      </w:r>
      <w:r w:rsidR="00C85062" w:rsidRPr="00F7387A">
        <w:rPr>
          <w:rFonts w:ascii="Times New Roman" w:hAnsi="Times New Roman" w:cs="Times New Roman"/>
          <w:sz w:val="24"/>
          <w:szCs w:val="24"/>
        </w:rPr>
        <w:t>, primici i izdaci</w:t>
      </w:r>
    </w:p>
    <w:p w14:paraId="4735743B" w14:textId="42117CA2" w:rsidR="000C0A6B" w:rsidRPr="00F7387A" w:rsidRDefault="000C0A6B" w:rsidP="006375D9">
      <w:pPr>
        <w:jc w:val="both"/>
        <w:rPr>
          <w:rFonts w:ascii="Times New Roman" w:hAnsi="Times New Roman" w:cs="Times New Roman"/>
          <w:sz w:val="24"/>
          <w:szCs w:val="24"/>
        </w:rPr>
      </w:pPr>
      <w:r w:rsidRPr="00F7387A">
        <w:rPr>
          <w:rFonts w:ascii="Times New Roman" w:hAnsi="Times New Roman" w:cs="Times New Roman"/>
          <w:sz w:val="24"/>
          <w:szCs w:val="24"/>
        </w:rPr>
        <w:t>U Financijskom planu za 202</w:t>
      </w:r>
      <w:r w:rsidR="00E74CFE" w:rsidRPr="00F7387A">
        <w:rPr>
          <w:rFonts w:ascii="Times New Roman" w:hAnsi="Times New Roman" w:cs="Times New Roman"/>
          <w:sz w:val="24"/>
          <w:szCs w:val="24"/>
        </w:rPr>
        <w:t>5</w:t>
      </w:r>
      <w:r w:rsidRPr="00F7387A">
        <w:rPr>
          <w:rFonts w:ascii="Times New Roman" w:hAnsi="Times New Roman" w:cs="Times New Roman"/>
          <w:sz w:val="24"/>
          <w:szCs w:val="24"/>
        </w:rPr>
        <w:t>. godinu planirani su ukupni prihodi u iznosu od 2.</w:t>
      </w:r>
      <w:r w:rsidR="00C30C00" w:rsidRPr="00F7387A">
        <w:rPr>
          <w:rFonts w:ascii="Times New Roman" w:hAnsi="Times New Roman" w:cs="Times New Roman"/>
          <w:sz w:val="24"/>
          <w:szCs w:val="24"/>
        </w:rPr>
        <w:t>8</w:t>
      </w:r>
      <w:r w:rsidR="00E74CFE" w:rsidRPr="00F7387A">
        <w:rPr>
          <w:rFonts w:ascii="Times New Roman" w:hAnsi="Times New Roman" w:cs="Times New Roman"/>
          <w:sz w:val="24"/>
          <w:szCs w:val="24"/>
        </w:rPr>
        <w:t>44</w:t>
      </w:r>
      <w:r w:rsidRPr="00F7387A">
        <w:rPr>
          <w:rFonts w:ascii="Times New Roman" w:hAnsi="Times New Roman" w:cs="Times New Roman"/>
          <w:sz w:val="24"/>
          <w:szCs w:val="24"/>
        </w:rPr>
        <w:t>.</w:t>
      </w:r>
      <w:r w:rsidR="00E74CFE" w:rsidRPr="00F7387A">
        <w:rPr>
          <w:rFonts w:ascii="Times New Roman" w:hAnsi="Times New Roman" w:cs="Times New Roman"/>
          <w:sz w:val="24"/>
          <w:szCs w:val="24"/>
        </w:rPr>
        <w:t>911</w:t>
      </w:r>
      <w:r w:rsidR="007D5567" w:rsidRPr="00F7387A">
        <w:rPr>
          <w:rFonts w:ascii="Times New Roman" w:hAnsi="Times New Roman" w:cs="Times New Roman"/>
          <w:sz w:val="24"/>
          <w:szCs w:val="24"/>
        </w:rPr>
        <w:t>,00</w:t>
      </w:r>
      <w:r w:rsidRPr="00F7387A">
        <w:rPr>
          <w:rFonts w:ascii="Times New Roman" w:hAnsi="Times New Roman" w:cs="Times New Roman"/>
          <w:sz w:val="24"/>
          <w:szCs w:val="24"/>
        </w:rPr>
        <w:t xml:space="preserve"> </w:t>
      </w:r>
      <w:r w:rsidR="00E74CFE" w:rsidRPr="00F7387A">
        <w:rPr>
          <w:rFonts w:ascii="Times New Roman" w:hAnsi="Times New Roman" w:cs="Times New Roman"/>
          <w:sz w:val="24"/>
          <w:szCs w:val="24"/>
        </w:rPr>
        <w:t>eur</w:t>
      </w:r>
      <w:r w:rsidR="005D26EF">
        <w:rPr>
          <w:rFonts w:ascii="Times New Roman" w:hAnsi="Times New Roman" w:cs="Times New Roman"/>
          <w:sz w:val="24"/>
          <w:szCs w:val="24"/>
        </w:rPr>
        <w:t>a</w:t>
      </w:r>
      <w:r w:rsidRPr="00F7387A">
        <w:rPr>
          <w:rFonts w:ascii="Times New Roman" w:hAnsi="Times New Roman" w:cs="Times New Roman"/>
          <w:sz w:val="24"/>
          <w:szCs w:val="24"/>
        </w:rPr>
        <w:t>, a ostvareni prihodi iznose 2.</w:t>
      </w:r>
      <w:r w:rsidR="00E74CFE" w:rsidRPr="00F7387A">
        <w:rPr>
          <w:rFonts w:ascii="Times New Roman" w:hAnsi="Times New Roman" w:cs="Times New Roman"/>
          <w:sz w:val="24"/>
          <w:szCs w:val="24"/>
        </w:rPr>
        <w:t>750</w:t>
      </w:r>
      <w:r w:rsidRPr="00F7387A">
        <w:rPr>
          <w:rFonts w:ascii="Times New Roman" w:hAnsi="Times New Roman" w:cs="Times New Roman"/>
          <w:sz w:val="24"/>
          <w:szCs w:val="24"/>
        </w:rPr>
        <w:t>.</w:t>
      </w:r>
      <w:r w:rsidR="00E74CFE" w:rsidRPr="00F7387A">
        <w:rPr>
          <w:rFonts w:ascii="Times New Roman" w:hAnsi="Times New Roman" w:cs="Times New Roman"/>
          <w:sz w:val="24"/>
          <w:szCs w:val="24"/>
        </w:rPr>
        <w:t>104,01</w:t>
      </w:r>
      <w:r w:rsidRPr="00F7387A">
        <w:rPr>
          <w:rFonts w:ascii="Times New Roman" w:hAnsi="Times New Roman" w:cs="Times New Roman"/>
          <w:sz w:val="24"/>
          <w:szCs w:val="24"/>
        </w:rPr>
        <w:t xml:space="preserve"> </w:t>
      </w:r>
      <w:r w:rsidR="00E74CFE" w:rsidRPr="00F7387A">
        <w:rPr>
          <w:rFonts w:ascii="Times New Roman" w:hAnsi="Times New Roman" w:cs="Times New Roman"/>
          <w:sz w:val="24"/>
          <w:szCs w:val="24"/>
        </w:rPr>
        <w:t>euro</w:t>
      </w:r>
      <w:r w:rsidR="007D5567" w:rsidRPr="00F7387A">
        <w:rPr>
          <w:rFonts w:ascii="Times New Roman" w:hAnsi="Times New Roman" w:cs="Times New Roman"/>
          <w:sz w:val="24"/>
          <w:szCs w:val="24"/>
        </w:rPr>
        <w:t xml:space="preserve"> i </w:t>
      </w:r>
      <w:r w:rsidR="00C30C00" w:rsidRPr="00F7387A">
        <w:rPr>
          <w:rFonts w:ascii="Times New Roman" w:hAnsi="Times New Roman" w:cs="Times New Roman"/>
          <w:sz w:val="24"/>
          <w:szCs w:val="24"/>
        </w:rPr>
        <w:t>manji</w:t>
      </w:r>
      <w:r w:rsidRPr="00F7387A">
        <w:rPr>
          <w:rFonts w:ascii="Times New Roman" w:hAnsi="Times New Roman" w:cs="Times New Roman"/>
          <w:sz w:val="24"/>
          <w:szCs w:val="24"/>
        </w:rPr>
        <w:t xml:space="preserve"> su </w:t>
      </w:r>
      <w:r w:rsidR="007D5567" w:rsidRPr="00F7387A">
        <w:rPr>
          <w:rFonts w:ascii="Times New Roman" w:hAnsi="Times New Roman" w:cs="Times New Roman"/>
          <w:sz w:val="24"/>
          <w:szCs w:val="24"/>
        </w:rPr>
        <w:t xml:space="preserve">u odnosu na planirano </w:t>
      </w:r>
      <w:r w:rsidRPr="00F7387A">
        <w:rPr>
          <w:rFonts w:ascii="Times New Roman" w:hAnsi="Times New Roman" w:cs="Times New Roman"/>
          <w:sz w:val="24"/>
          <w:szCs w:val="24"/>
        </w:rPr>
        <w:t xml:space="preserve">za </w:t>
      </w:r>
      <w:r w:rsidR="0084106B" w:rsidRPr="00F7387A">
        <w:rPr>
          <w:rFonts w:ascii="Times New Roman" w:hAnsi="Times New Roman" w:cs="Times New Roman"/>
          <w:sz w:val="24"/>
          <w:szCs w:val="24"/>
        </w:rPr>
        <w:t>3</w:t>
      </w:r>
      <w:r w:rsidRPr="00F7387A">
        <w:rPr>
          <w:rFonts w:ascii="Times New Roman" w:hAnsi="Times New Roman" w:cs="Times New Roman"/>
          <w:sz w:val="24"/>
          <w:szCs w:val="24"/>
        </w:rPr>
        <w:t>,</w:t>
      </w:r>
      <w:r w:rsidR="0084106B" w:rsidRPr="00F7387A">
        <w:rPr>
          <w:rFonts w:ascii="Times New Roman" w:hAnsi="Times New Roman" w:cs="Times New Roman"/>
          <w:sz w:val="24"/>
          <w:szCs w:val="24"/>
        </w:rPr>
        <w:t>33</w:t>
      </w:r>
      <w:r w:rsidRPr="00F7387A">
        <w:rPr>
          <w:rFonts w:ascii="Times New Roman" w:hAnsi="Times New Roman" w:cs="Times New Roman"/>
          <w:sz w:val="24"/>
          <w:szCs w:val="24"/>
        </w:rPr>
        <w:t>%</w:t>
      </w:r>
      <w:r w:rsidR="00342C4A" w:rsidRPr="00F7387A">
        <w:rPr>
          <w:rFonts w:ascii="Times New Roman" w:hAnsi="Times New Roman" w:cs="Times New Roman"/>
          <w:sz w:val="24"/>
          <w:szCs w:val="24"/>
        </w:rPr>
        <w:t xml:space="preserve">. </w:t>
      </w:r>
    </w:p>
    <w:p w14:paraId="6224894A" w14:textId="6A1E8F9F" w:rsidR="00F903B5" w:rsidRPr="00F7387A" w:rsidRDefault="00F903B5" w:rsidP="006375D9">
      <w:pPr>
        <w:jc w:val="both"/>
        <w:rPr>
          <w:rFonts w:ascii="Times New Roman" w:hAnsi="Times New Roman" w:cs="Times New Roman"/>
          <w:sz w:val="24"/>
          <w:szCs w:val="24"/>
        </w:rPr>
      </w:pPr>
      <w:r w:rsidRPr="00F7387A">
        <w:rPr>
          <w:rFonts w:ascii="Times New Roman" w:hAnsi="Times New Roman" w:cs="Times New Roman"/>
          <w:sz w:val="24"/>
          <w:szCs w:val="24"/>
        </w:rPr>
        <w:t xml:space="preserve">Ukupni rashodi </w:t>
      </w:r>
      <w:r w:rsidR="00C17840" w:rsidRPr="00F7387A">
        <w:rPr>
          <w:rFonts w:ascii="Times New Roman" w:hAnsi="Times New Roman" w:cs="Times New Roman"/>
          <w:sz w:val="24"/>
          <w:szCs w:val="24"/>
        </w:rPr>
        <w:t>su ostvareni u iznosu od 2.</w:t>
      </w:r>
      <w:r w:rsidR="0084106B" w:rsidRPr="00F7387A">
        <w:rPr>
          <w:rFonts w:ascii="Times New Roman" w:hAnsi="Times New Roman" w:cs="Times New Roman"/>
          <w:sz w:val="24"/>
          <w:szCs w:val="24"/>
        </w:rPr>
        <w:t>801</w:t>
      </w:r>
      <w:r w:rsidR="00C17840" w:rsidRPr="00F7387A">
        <w:rPr>
          <w:rFonts w:ascii="Times New Roman" w:hAnsi="Times New Roman" w:cs="Times New Roman"/>
          <w:sz w:val="24"/>
          <w:szCs w:val="24"/>
        </w:rPr>
        <w:t>.</w:t>
      </w:r>
      <w:r w:rsidR="0084106B" w:rsidRPr="00F7387A">
        <w:rPr>
          <w:rFonts w:ascii="Times New Roman" w:hAnsi="Times New Roman" w:cs="Times New Roman"/>
          <w:sz w:val="24"/>
          <w:szCs w:val="24"/>
        </w:rPr>
        <w:t>383</w:t>
      </w:r>
      <w:r w:rsidR="008B76C3" w:rsidRPr="00F7387A">
        <w:rPr>
          <w:rFonts w:ascii="Times New Roman" w:hAnsi="Times New Roman" w:cs="Times New Roman"/>
          <w:sz w:val="24"/>
          <w:szCs w:val="24"/>
        </w:rPr>
        <w:t>,</w:t>
      </w:r>
      <w:r w:rsidR="0084106B" w:rsidRPr="00F7387A">
        <w:rPr>
          <w:rFonts w:ascii="Times New Roman" w:hAnsi="Times New Roman" w:cs="Times New Roman"/>
          <w:sz w:val="24"/>
          <w:szCs w:val="24"/>
        </w:rPr>
        <w:t>80</w:t>
      </w:r>
      <w:r w:rsidR="00C17840" w:rsidRPr="00F7387A">
        <w:rPr>
          <w:rFonts w:ascii="Times New Roman" w:hAnsi="Times New Roman" w:cs="Times New Roman"/>
          <w:sz w:val="24"/>
          <w:szCs w:val="24"/>
        </w:rPr>
        <w:t xml:space="preserve"> </w:t>
      </w:r>
      <w:r w:rsidR="0084106B" w:rsidRPr="00F7387A">
        <w:rPr>
          <w:rFonts w:ascii="Times New Roman" w:hAnsi="Times New Roman" w:cs="Times New Roman"/>
          <w:sz w:val="24"/>
          <w:szCs w:val="24"/>
        </w:rPr>
        <w:t>eura</w:t>
      </w:r>
      <w:r w:rsidR="00342C4A" w:rsidRPr="00F7387A">
        <w:rPr>
          <w:rFonts w:ascii="Times New Roman" w:hAnsi="Times New Roman" w:cs="Times New Roman"/>
          <w:sz w:val="24"/>
          <w:szCs w:val="24"/>
        </w:rPr>
        <w:t xml:space="preserve"> i u odnosu na planirane manji su za </w:t>
      </w:r>
      <w:r w:rsidR="0084106B" w:rsidRPr="00F7387A">
        <w:rPr>
          <w:rFonts w:ascii="Times New Roman" w:hAnsi="Times New Roman" w:cs="Times New Roman"/>
          <w:sz w:val="24"/>
          <w:szCs w:val="24"/>
        </w:rPr>
        <w:t>7</w:t>
      </w:r>
      <w:r w:rsidR="00342C4A" w:rsidRPr="00F7387A">
        <w:rPr>
          <w:rFonts w:ascii="Times New Roman" w:hAnsi="Times New Roman" w:cs="Times New Roman"/>
          <w:sz w:val="24"/>
          <w:szCs w:val="24"/>
        </w:rPr>
        <w:t>,</w:t>
      </w:r>
      <w:r w:rsidR="0084106B" w:rsidRPr="00F7387A">
        <w:rPr>
          <w:rFonts w:ascii="Times New Roman" w:hAnsi="Times New Roman" w:cs="Times New Roman"/>
          <w:sz w:val="24"/>
          <w:szCs w:val="24"/>
        </w:rPr>
        <w:t>19</w:t>
      </w:r>
      <w:r w:rsidR="00002D25" w:rsidRPr="00F7387A">
        <w:rPr>
          <w:rFonts w:ascii="Times New Roman" w:hAnsi="Times New Roman" w:cs="Times New Roman"/>
          <w:sz w:val="24"/>
          <w:szCs w:val="24"/>
        </w:rPr>
        <w:t>%</w:t>
      </w:r>
      <w:r w:rsidR="00342C4A" w:rsidRPr="00F7387A">
        <w:rPr>
          <w:rFonts w:ascii="Times New Roman" w:hAnsi="Times New Roman" w:cs="Times New Roman"/>
          <w:sz w:val="24"/>
          <w:szCs w:val="24"/>
        </w:rPr>
        <w:t>.</w:t>
      </w:r>
    </w:p>
    <w:p w14:paraId="674AB517" w14:textId="066499AA" w:rsidR="00AF6CBB" w:rsidRPr="00F7387A" w:rsidRDefault="00342C4A" w:rsidP="006375D9">
      <w:pPr>
        <w:jc w:val="both"/>
        <w:rPr>
          <w:rFonts w:ascii="Times New Roman" w:hAnsi="Times New Roman" w:cs="Times New Roman"/>
          <w:sz w:val="24"/>
          <w:szCs w:val="24"/>
        </w:rPr>
      </w:pPr>
      <w:r w:rsidRPr="00F7387A">
        <w:rPr>
          <w:rFonts w:ascii="Times New Roman" w:hAnsi="Times New Roman" w:cs="Times New Roman"/>
          <w:sz w:val="24"/>
          <w:szCs w:val="24"/>
        </w:rPr>
        <w:t>Primici u 202</w:t>
      </w:r>
      <w:r w:rsidR="0084106B" w:rsidRPr="00F7387A">
        <w:rPr>
          <w:rFonts w:ascii="Times New Roman" w:hAnsi="Times New Roman" w:cs="Times New Roman"/>
          <w:sz w:val="24"/>
          <w:szCs w:val="24"/>
        </w:rPr>
        <w:t>5</w:t>
      </w:r>
      <w:r w:rsidRPr="00F7387A">
        <w:rPr>
          <w:rFonts w:ascii="Times New Roman" w:hAnsi="Times New Roman" w:cs="Times New Roman"/>
          <w:sz w:val="24"/>
          <w:szCs w:val="24"/>
        </w:rPr>
        <w:t xml:space="preserve">. godini </w:t>
      </w:r>
      <w:r w:rsidR="008B76C3" w:rsidRPr="00F7387A">
        <w:rPr>
          <w:rFonts w:ascii="Times New Roman" w:hAnsi="Times New Roman" w:cs="Times New Roman"/>
          <w:sz w:val="24"/>
          <w:szCs w:val="24"/>
        </w:rPr>
        <w:t xml:space="preserve">se </w:t>
      </w:r>
      <w:r w:rsidRPr="00F7387A">
        <w:rPr>
          <w:rFonts w:ascii="Times New Roman" w:hAnsi="Times New Roman" w:cs="Times New Roman"/>
          <w:sz w:val="24"/>
          <w:szCs w:val="24"/>
        </w:rPr>
        <w:t>nisu planirali</w:t>
      </w:r>
      <w:r w:rsidR="0084106B" w:rsidRPr="00F7387A">
        <w:rPr>
          <w:rFonts w:ascii="Times New Roman" w:hAnsi="Times New Roman" w:cs="Times New Roman"/>
          <w:sz w:val="24"/>
          <w:szCs w:val="24"/>
        </w:rPr>
        <w:t xml:space="preserve"> ni ostvarili</w:t>
      </w:r>
      <w:r w:rsidR="00002D25" w:rsidRPr="00F7387A">
        <w:rPr>
          <w:rFonts w:ascii="Times New Roman" w:hAnsi="Times New Roman" w:cs="Times New Roman"/>
          <w:sz w:val="24"/>
          <w:szCs w:val="24"/>
        </w:rPr>
        <w:t>.</w:t>
      </w:r>
      <w:r w:rsidRPr="00F7387A">
        <w:rPr>
          <w:rFonts w:ascii="Times New Roman" w:hAnsi="Times New Roman" w:cs="Times New Roman"/>
          <w:sz w:val="24"/>
          <w:szCs w:val="24"/>
        </w:rPr>
        <w:t xml:space="preserve"> </w:t>
      </w:r>
      <w:r w:rsidR="00002D25" w:rsidRPr="00F7387A">
        <w:rPr>
          <w:rFonts w:ascii="Times New Roman" w:hAnsi="Times New Roman" w:cs="Times New Roman"/>
          <w:sz w:val="24"/>
          <w:szCs w:val="24"/>
        </w:rPr>
        <w:t>I</w:t>
      </w:r>
      <w:r w:rsidRPr="00F7387A">
        <w:rPr>
          <w:rFonts w:ascii="Times New Roman" w:hAnsi="Times New Roman" w:cs="Times New Roman"/>
          <w:sz w:val="24"/>
          <w:szCs w:val="24"/>
        </w:rPr>
        <w:t>zdaci su ostvareni u planiranim vrijednostima.</w:t>
      </w:r>
      <w:r w:rsidR="00002D25" w:rsidRPr="00F7387A">
        <w:rPr>
          <w:rFonts w:ascii="Times New Roman" w:hAnsi="Times New Roman" w:cs="Times New Roman"/>
          <w:sz w:val="24"/>
          <w:szCs w:val="24"/>
        </w:rPr>
        <w:t xml:space="preserve"> </w:t>
      </w:r>
      <w:r w:rsidR="00F0407F" w:rsidRPr="00F7387A">
        <w:rPr>
          <w:rFonts w:ascii="Times New Roman" w:hAnsi="Times New Roman" w:cs="Times New Roman"/>
          <w:sz w:val="24"/>
          <w:szCs w:val="24"/>
        </w:rPr>
        <w:t>Sukladno planu otplate, u</w:t>
      </w:r>
      <w:r w:rsidR="00002D25" w:rsidRPr="00F7387A">
        <w:rPr>
          <w:rFonts w:ascii="Times New Roman" w:hAnsi="Times New Roman" w:cs="Times New Roman"/>
          <w:sz w:val="24"/>
          <w:szCs w:val="24"/>
        </w:rPr>
        <w:t xml:space="preserve"> 202</w:t>
      </w:r>
      <w:r w:rsidR="0084106B" w:rsidRPr="00F7387A">
        <w:rPr>
          <w:rFonts w:ascii="Times New Roman" w:hAnsi="Times New Roman" w:cs="Times New Roman"/>
          <w:sz w:val="24"/>
          <w:szCs w:val="24"/>
        </w:rPr>
        <w:t>5</w:t>
      </w:r>
      <w:r w:rsidR="00002D25" w:rsidRPr="00F7387A">
        <w:rPr>
          <w:rFonts w:ascii="Times New Roman" w:hAnsi="Times New Roman" w:cs="Times New Roman"/>
          <w:sz w:val="24"/>
          <w:szCs w:val="24"/>
        </w:rPr>
        <w:t xml:space="preserve">. godini plaćene su četiri rate kredita u ukupnom iznosu od 5.897,60 </w:t>
      </w:r>
      <w:r w:rsidR="0084106B" w:rsidRPr="00F7387A">
        <w:rPr>
          <w:rFonts w:ascii="Times New Roman" w:hAnsi="Times New Roman" w:cs="Times New Roman"/>
          <w:sz w:val="24"/>
          <w:szCs w:val="24"/>
        </w:rPr>
        <w:t>eura</w:t>
      </w:r>
      <w:r w:rsidR="00F0407F" w:rsidRPr="00F7387A">
        <w:rPr>
          <w:rFonts w:ascii="Times New Roman" w:hAnsi="Times New Roman" w:cs="Times New Roman"/>
          <w:sz w:val="24"/>
          <w:szCs w:val="24"/>
        </w:rPr>
        <w:t>,</w:t>
      </w:r>
      <w:r w:rsidR="00AF6CBB" w:rsidRPr="00F7387A">
        <w:t xml:space="preserve"> </w:t>
      </w:r>
      <w:r w:rsidR="00AF6CBB" w:rsidRPr="00F7387A">
        <w:rPr>
          <w:rFonts w:ascii="Times New Roman" w:hAnsi="Times New Roman" w:cs="Times New Roman"/>
          <w:sz w:val="24"/>
          <w:szCs w:val="24"/>
        </w:rPr>
        <w:t>a odnose se na kvartalne rate otplate glavnice kredita primljenog od HBOR-a.</w:t>
      </w:r>
    </w:p>
    <w:p w14:paraId="6FDD2590" w14:textId="77777777" w:rsidR="00205C01" w:rsidRPr="00F7387A" w:rsidRDefault="00205C01" w:rsidP="006375D9">
      <w:pPr>
        <w:jc w:val="both"/>
        <w:rPr>
          <w:rFonts w:ascii="Times New Roman" w:hAnsi="Times New Roman" w:cs="Times New Roman"/>
          <w:sz w:val="24"/>
          <w:szCs w:val="24"/>
        </w:rPr>
      </w:pPr>
    </w:p>
    <w:p w14:paraId="2623D911" w14:textId="1B8C491A" w:rsidR="00C72ECE" w:rsidRPr="00F7387A" w:rsidRDefault="00C72ECE" w:rsidP="006375D9">
      <w:pPr>
        <w:jc w:val="both"/>
        <w:rPr>
          <w:rFonts w:ascii="Times New Roman" w:hAnsi="Times New Roman" w:cs="Times New Roman"/>
          <w:sz w:val="24"/>
          <w:szCs w:val="24"/>
        </w:rPr>
      </w:pPr>
      <w:r w:rsidRPr="00F7387A">
        <w:rPr>
          <w:rFonts w:ascii="Times New Roman" w:hAnsi="Times New Roman" w:cs="Times New Roman"/>
          <w:sz w:val="24"/>
          <w:szCs w:val="24"/>
        </w:rPr>
        <w:t>Odnos sredstava</w:t>
      </w:r>
    </w:p>
    <w:p w14:paraId="1C78E543" w14:textId="70273DA9" w:rsidR="0084106B" w:rsidRPr="00F7387A" w:rsidRDefault="0084106B" w:rsidP="006375D9">
      <w:pPr>
        <w:jc w:val="both"/>
        <w:rPr>
          <w:rFonts w:ascii="Times New Roman" w:hAnsi="Times New Roman" w:cs="Times New Roman"/>
          <w:sz w:val="24"/>
          <w:szCs w:val="24"/>
        </w:rPr>
      </w:pPr>
      <w:r w:rsidRPr="00F7387A">
        <w:rPr>
          <w:rFonts w:ascii="Times New Roman" w:hAnsi="Times New Roman" w:cs="Times New Roman"/>
          <w:sz w:val="24"/>
          <w:szCs w:val="24"/>
        </w:rPr>
        <w:t>Ostvareni prijenos sredstava iz 2025. u 2026. godinu iznosi 895.197,25 eura i rezultat je kretanja ostvarenih prihoda i rashoda tijekom 2025. godine.</w:t>
      </w:r>
    </w:p>
    <w:p w14:paraId="300384E2" w14:textId="77777777" w:rsidR="0084106B" w:rsidRDefault="0084106B" w:rsidP="006375D9">
      <w:pPr>
        <w:jc w:val="both"/>
        <w:rPr>
          <w:rFonts w:ascii="Times New Roman" w:hAnsi="Times New Roman" w:cs="Times New Roman"/>
          <w:sz w:val="24"/>
          <w:szCs w:val="24"/>
        </w:rPr>
      </w:pPr>
    </w:p>
    <w:p w14:paraId="60CBCE85" w14:textId="2C756DD6" w:rsidR="00936A3D" w:rsidRPr="00F7387A" w:rsidRDefault="008B76C3" w:rsidP="006375D9">
      <w:pPr>
        <w:jc w:val="both"/>
        <w:rPr>
          <w:rFonts w:ascii="Times New Roman" w:hAnsi="Times New Roman" w:cs="Times New Roman"/>
          <w:sz w:val="24"/>
          <w:szCs w:val="24"/>
        </w:rPr>
      </w:pPr>
      <w:r w:rsidRPr="00F7387A">
        <w:rPr>
          <w:rFonts w:ascii="Times New Roman" w:hAnsi="Times New Roman" w:cs="Times New Roman"/>
          <w:sz w:val="24"/>
          <w:szCs w:val="24"/>
        </w:rPr>
        <w:lastRenderedPageBreak/>
        <w:t>Informacija o stanju</w:t>
      </w:r>
      <w:r w:rsidR="00936A3D" w:rsidRPr="00F7387A">
        <w:rPr>
          <w:rFonts w:ascii="Times New Roman" w:hAnsi="Times New Roman" w:cs="Times New Roman"/>
          <w:sz w:val="24"/>
          <w:szCs w:val="24"/>
        </w:rPr>
        <w:t xml:space="preserve"> novčanih sredstava na računu u banci i blagajnama</w:t>
      </w:r>
    </w:p>
    <w:p w14:paraId="2488D7FE" w14:textId="5E9A7DBC" w:rsidR="00C72ECE" w:rsidRPr="00F7387A" w:rsidRDefault="000F7207" w:rsidP="006375D9">
      <w:pPr>
        <w:jc w:val="both"/>
        <w:rPr>
          <w:rFonts w:ascii="Times New Roman" w:hAnsi="Times New Roman" w:cs="Times New Roman"/>
          <w:sz w:val="24"/>
          <w:szCs w:val="24"/>
        </w:rPr>
      </w:pPr>
      <w:r w:rsidRPr="00F7387A">
        <w:rPr>
          <w:rFonts w:ascii="Times New Roman" w:hAnsi="Times New Roman" w:cs="Times New Roman"/>
          <w:sz w:val="24"/>
          <w:szCs w:val="24"/>
        </w:rPr>
        <w:t>Stanje novčanih sredstava na računu u banci i blagajnama na dan 01.01.202</w:t>
      </w:r>
      <w:r w:rsidR="0084106B" w:rsidRPr="00F7387A">
        <w:rPr>
          <w:rFonts w:ascii="Times New Roman" w:hAnsi="Times New Roman" w:cs="Times New Roman"/>
          <w:sz w:val="24"/>
          <w:szCs w:val="24"/>
        </w:rPr>
        <w:t>5</w:t>
      </w:r>
      <w:r w:rsidRPr="00F7387A">
        <w:rPr>
          <w:rFonts w:ascii="Times New Roman" w:hAnsi="Times New Roman" w:cs="Times New Roman"/>
          <w:sz w:val="24"/>
          <w:szCs w:val="24"/>
        </w:rPr>
        <w:t xml:space="preserve">. godine iznosilo je </w:t>
      </w:r>
      <w:r w:rsidR="0084106B" w:rsidRPr="00F7387A">
        <w:rPr>
          <w:rFonts w:ascii="Times New Roman" w:hAnsi="Times New Roman" w:cs="Times New Roman"/>
          <w:sz w:val="24"/>
          <w:szCs w:val="24"/>
        </w:rPr>
        <w:t>931</w:t>
      </w:r>
      <w:r w:rsidR="00CF10AA" w:rsidRPr="00F7387A">
        <w:rPr>
          <w:rFonts w:ascii="Times New Roman" w:hAnsi="Times New Roman" w:cs="Times New Roman"/>
          <w:sz w:val="24"/>
          <w:szCs w:val="24"/>
        </w:rPr>
        <w:t>.83</w:t>
      </w:r>
      <w:r w:rsidR="0084106B" w:rsidRPr="00F7387A">
        <w:rPr>
          <w:rFonts w:ascii="Times New Roman" w:hAnsi="Times New Roman" w:cs="Times New Roman"/>
          <w:sz w:val="24"/>
          <w:szCs w:val="24"/>
        </w:rPr>
        <w:t>6</w:t>
      </w:r>
      <w:r w:rsidR="00CF10AA" w:rsidRPr="00F7387A">
        <w:rPr>
          <w:rFonts w:ascii="Times New Roman" w:hAnsi="Times New Roman" w:cs="Times New Roman"/>
          <w:sz w:val="24"/>
          <w:szCs w:val="24"/>
        </w:rPr>
        <w:t>,</w:t>
      </w:r>
      <w:r w:rsidR="0084106B" w:rsidRPr="00F7387A">
        <w:rPr>
          <w:rFonts w:ascii="Times New Roman" w:hAnsi="Times New Roman" w:cs="Times New Roman"/>
          <w:sz w:val="24"/>
          <w:szCs w:val="24"/>
        </w:rPr>
        <w:t>67</w:t>
      </w:r>
      <w:r w:rsidR="00CF10AA" w:rsidRPr="00F7387A">
        <w:rPr>
          <w:rFonts w:ascii="Times New Roman" w:hAnsi="Times New Roman" w:cs="Times New Roman"/>
          <w:sz w:val="24"/>
          <w:szCs w:val="24"/>
        </w:rPr>
        <w:t xml:space="preserve"> </w:t>
      </w:r>
      <w:r w:rsidR="0084106B" w:rsidRPr="00F7387A">
        <w:rPr>
          <w:rFonts w:ascii="Times New Roman" w:hAnsi="Times New Roman" w:cs="Times New Roman"/>
          <w:sz w:val="24"/>
          <w:szCs w:val="24"/>
        </w:rPr>
        <w:t>eura</w:t>
      </w:r>
      <w:r w:rsidRPr="00F7387A">
        <w:rPr>
          <w:rFonts w:ascii="Times New Roman" w:hAnsi="Times New Roman" w:cs="Times New Roman"/>
          <w:sz w:val="24"/>
          <w:szCs w:val="24"/>
        </w:rPr>
        <w:t>, a na dan 31.12.202</w:t>
      </w:r>
      <w:r w:rsidR="0084106B" w:rsidRPr="00F7387A">
        <w:rPr>
          <w:rFonts w:ascii="Times New Roman" w:hAnsi="Times New Roman" w:cs="Times New Roman"/>
          <w:sz w:val="24"/>
          <w:szCs w:val="24"/>
        </w:rPr>
        <w:t>5</w:t>
      </w:r>
      <w:r w:rsidRPr="00F7387A">
        <w:rPr>
          <w:rFonts w:ascii="Times New Roman" w:hAnsi="Times New Roman" w:cs="Times New Roman"/>
          <w:sz w:val="24"/>
          <w:szCs w:val="24"/>
        </w:rPr>
        <w:t>. godine iznosilo je</w:t>
      </w:r>
      <w:r w:rsidR="00CF10AA" w:rsidRPr="00F7387A">
        <w:t xml:space="preserve"> </w:t>
      </w:r>
      <w:r w:rsidR="0084106B" w:rsidRPr="00F7387A">
        <w:rPr>
          <w:rFonts w:ascii="Times New Roman" w:hAnsi="Times New Roman" w:cs="Times New Roman"/>
          <w:sz w:val="24"/>
          <w:szCs w:val="24"/>
        </w:rPr>
        <w:t>878</w:t>
      </w:r>
      <w:r w:rsidR="00CF10AA" w:rsidRPr="00F7387A">
        <w:rPr>
          <w:rFonts w:ascii="Times New Roman" w:hAnsi="Times New Roman" w:cs="Times New Roman"/>
          <w:sz w:val="24"/>
          <w:szCs w:val="24"/>
        </w:rPr>
        <w:t>.</w:t>
      </w:r>
      <w:r w:rsidR="0084106B" w:rsidRPr="00F7387A">
        <w:rPr>
          <w:rFonts w:ascii="Times New Roman" w:hAnsi="Times New Roman" w:cs="Times New Roman"/>
          <w:sz w:val="24"/>
          <w:szCs w:val="24"/>
        </w:rPr>
        <w:t>445</w:t>
      </w:r>
      <w:r w:rsidR="00CF10AA" w:rsidRPr="00F7387A">
        <w:rPr>
          <w:rFonts w:ascii="Times New Roman" w:hAnsi="Times New Roman" w:cs="Times New Roman"/>
          <w:sz w:val="24"/>
          <w:szCs w:val="24"/>
        </w:rPr>
        <w:t>,</w:t>
      </w:r>
      <w:r w:rsidR="0084106B" w:rsidRPr="00F7387A">
        <w:rPr>
          <w:rFonts w:ascii="Times New Roman" w:hAnsi="Times New Roman" w:cs="Times New Roman"/>
          <w:sz w:val="24"/>
          <w:szCs w:val="24"/>
        </w:rPr>
        <w:t>62</w:t>
      </w:r>
      <w:r w:rsidR="00CF10AA" w:rsidRPr="00F7387A">
        <w:rPr>
          <w:rFonts w:ascii="Times New Roman" w:hAnsi="Times New Roman" w:cs="Times New Roman"/>
          <w:sz w:val="24"/>
          <w:szCs w:val="24"/>
        </w:rPr>
        <w:t xml:space="preserve"> </w:t>
      </w:r>
      <w:r w:rsidR="0084106B" w:rsidRPr="00F7387A">
        <w:rPr>
          <w:rFonts w:ascii="Times New Roman" w:hAnsi="Times New Roman" w:cs="Times New Roman"/>
          <w:sz w:val="24"/>
          <w:szCs w:val="24"/>
        </w:rPr>
        <w:t>eura.</w:t>
      </w:r>
    </w:p>
    <w:p w14:paraId="5617127E" w14:textId="77777777" w:rsidR="00D93122" w:rsidRDefault="00D93122" w:rsidP="006375D9">
      <w:pPr>
        <w:jc w:val="both"/>
        <w:rPr>
          <w:rFonts w:ascii="Times New Roman" w:hAnsi="Times New Roman" w:cs="Times New Roman"/>
          <w:sz w:val="24"/>
          <w:szCs w:val="24"/>
        </w:rPr>
      </w:pPr>
    </w:p>
    <w:p w14:paraId="0801A0E6" w14:textId="77777777" w:rsidR="00D560E3" w:rsidRPr="006B607B" w:rsidRDefault="00D560E3" w:rsidP="006375D9">
      <w:pPr>
        <w:jc w:val="both"/>
        <w:rPr>
          <w:rFonts w:ascii="Times New Roman" w:hAnsi="Times New Roman" w:cs="Times New Roman"/>
          <w:sz w:val="24"/>
          <w:szCs w:val="24"/>
        </w:rPr>
      </w:pPr>
    </w:p>
    <w:p w14:paraId="606C9CEB" w14:textId="6B3FE987" w:rsidR="00D93122" w:rsidRPr="006B607B" w:rsidRDefault="00DB1586" w:rsidP="006375D9">
      <w:pPr>
        <w:jc w:val="both"/>
        <w:rPr>
          <w:rFonts w:ascii="Times New Roman" w:hAnsi="Times New Roman" w:cs="Times New Roman"/>
          <w:sz w:val="24"/>
          <w:szCs w:val="24"/>
        </w:rPr>
      </w:pPr>
      <w:r w:rsidRPr="006B607B">
        <w:rPr>
          <w:rFonts w:ascii="Times New Roman" w:hAnsi="Times New Roman" w:cs="Times New Roman"/>
          <w:sz w:val="24"/>
          <w:szCs w:val="24"/>
        </w:rPr>
        <w:t xml:space="preserve">A.1 </w:t>
      </w:r>
      <w:r w:rsidR="00D93122" w:rsidRPr="006B607B">
        <w:rPr>
          <w:rFonts w:ascii="Times New Roman" w:hAnsi="Times New Roman" w:cs="Times New Roman"/>
          <w:sz w:val="24"/>
          <w:szCs w:val="24"/>
        </w:rPr>
        <w:t xml:space="preserve">IZVJEŠTAJ O PRIHODIMA I RASHODIMA PREMA </w:t>
      </w:r>
      <w:r w:rsidR="00887B51" w:rsidRPr="006B607B">
        <w:rPr>
          <w:rFonts w:ascii="Times New Roman" w:hAnsi="Times New Roman" w:cs="Times New Roman"/>
          <w:sz w:val="24"/>
          <w:szCs w:val="24"/>
        </w:rPr>
        <w:t xml:space="preserve">EKONOMSKOJ KLASIFIKACIJI I </w:t>
      </w:r>
      <w:r w:rsidR="00D93122" w:rsidRPr="006B607B">
        <w:rPr>
          <w:rFonts w:ascii="Times New Roman" w:hAnsi="Times New Roman" w:cs="Times New Roman"/>
          <w:sz w:val="24"/>
          <w:szCs w:val="24"/>
        </w:rPr>
        <w:t>IZVORIMA FINANCIRANJA</w:t>
      </w:r>
      <w:r w:rsidR="006660E7" w:rsidRPr="006B607B">
        <w:rPr>
          <w:rFonts w:ascii="Times New Roman" w:hAnsi="Times New Roman" w:cs="Times New Roman"/>
          <w:sz w:val="24"/>
          <w:szCs w:val="24"/>
        </w:rPr>
        <w:t xml:space="preserve"> (TABELA A</w:t>
      </w:r>
      <w:r w:rsidR="0066624A">
        <w:rPr>
          <w:rFonts w:ascii="Times New Roman" w:hAnsi="Times New Roman" w:cs="Times New Roman"/>
          <w:sz w:val="24"/>
          <w:szCs w:val="24"/>
        </w:rPr>
        <w:t>.</w:t>
      </w:r>
      <w:r w:rsidR="006660E7" w:rsidRPr="006B607B">
        <w:rPr>
          <w:rFonts w:ascii="Times New Roman" w:hAnsi="Times New Roman" w:cs="Times New Roman"/>
          <w:sz w:val="24"/>
          <w:szCs w:val="24"/>
        </w:rPr>
        <w:t>1</w:t>
      </w:r>
      <w:r w:rsidR="00D478FA" w:rsidRPr="006B607B">
        <w:rPr>
          <w:rFonts w:ascii="Times New Roman" w:hAnsi="Times New Roman" w:cs="Times New Roman"/>
          <w:sz w:val="24"/>
          <w:szCs w:val="24"/>
        </w:rPr>
        <w:t xml:space="preserve"> PRIHODI I TABELA A</w:t>
      </w:r>
      <w:r w:rsidR="0066624A">
        <w:rPr>
          <w:rFonts w:ascii="Times New Roman" w:hAnsi="Times New Roman" w:cs="Times New Roman"/>
          <w:sz w:val="24"/>
          <w:szCs w:val="24"/>
        </w:rPr>
        <w:t>.</w:t>
      </w:r>
      <w:r w:rsidR="00D478FA" w:rsidRPr="006B607B">
        <w:rPr>
          <w:rFonts w:ascii="Times New Roman" w:hAnsi="Times New Roman" w:cs="Times New Roman"/>
          <w:sz w:val="24"/>
          <w:szCs w:val="24"/>
        </w:rPr>
        <w:t>1 RASHODI)</w:t>
      </w:r>
    </w:p>
    <w:p w14:paraId="3B84F9F2" w14:textId="28AD6FCF" w:rsidR="00D93122" w:rsidRPr="00F7387A" w:rsidRDefault="00340FB5" w:rsidP="006375D9">
      <w:pPr>
        <w:jc w:val="both"/>
        <w:rPr>
          <w:rFonts w:ascii="Times New Roman" w:hAnsi="Times New Roman" w:cs="Times New Roman"/>
          <w:sz w:val="24"/>
          <w:szCs w:val="24"/>
        </w:rPr>
      </w:pPr>
      <w:r w:rsidRPr="00F7387A">
        <w:rPr>
          <w:rFonts w:ascii="Times New Roman" w:hAnsi="Times New Roman" w:cs="Times New Roman"/>
          <w:sz w:val="24"/>
          <w:szCs w:val="24"/>
        </w:rPr>
        <w:t>Godišnji i</w:t>
      </w:r>
      <w:r w:rsidR="00944AFC" w:rsidRPr="00F7387A">
        <w:rPr>
          <w:rFonts w:ascii="Times New Roman" w:hAnsi="Times New Roman" w:cs="Times New Roman"/>
          <w:sz w:val="24"/>
          <w:szCs w:val="24"/>
        </w:rPr>
        <w:t xml:space="preserve">zvještaj o ostvarenju </w:t>
      </w:r>
      <w:r w:rsidR="003E1731" w:rsidRPr="00F7387A">
        <w:rPr>
          <w:rFonts w:ascii="Times New Roman" w:hAnsi="Times New Roman" w:cs="Times New Roman"/>
          <w:sz w:val="24"/>
          <w:szCs w:val="24"/>
        </w:rPr>
        <w:t xml:space="preserve">financijskog </w:t>
      </w:r>
      <w:r w:rsidR="00944AFC" w:rsidRPr="00F7387A">
        <w:rPr>
          <w:rFonts w:ascii="Times New Roman" w:hAnsi="Times New Roman" w:cs="Times New Roman"/>
          <w:sz w:val="24"/>
          <w:szCs w:val="24"/>
        </w:rPr>
        <w:t>plana</w:t>
      </w:r>
      <w:r w:rsidR="00E87F4B" w:rsidRPr="00F7387A">
        <w:rPr>
          <w:rFonts w:ascii="Times New Roman" w:hAnsi="Times New Roman" w:cs="Times New Roman"/>
          <w:sz w:val="24"/>
          <w:szCs w:val="24"/>
        </w:rPr>
        <w:t xml:space="preserve"> </w:t>
      </w:r>
      <w:r w:rsidR="003E1731" w:rsidRPr="00F7387A">
        <w:rPr>
          <w:rFonts w:ascii="Times New Roman" w:hAnsi="Times New Roman" w:cs="Times New Roman"/>
          <w:sz w:val="24"/>
          <w:szCs w:val="24"/>
        </w:rPr>
        <w:t xml:space="preserve">za </w:t>
      </w:r>
      <w:r w:rsidR="00944AFC" w:rsidRPr="00F7387A">
        <w:rPr>
          <w:rFonts w:ascii="Times New Roman" w:hAnsi="Times New Roman" w:cs="Times New Roman"/>
          <w:sz w:val="24"/>
          <w:szCs w:val="24"/>
        </w:rPr>
        <w:t>202</w:t>
      </w:r>
      <w:r w:rsidR="0084106B" w:rsidRPr="00F7387A">
        <w:rPr>
          <w:rFonts w:ascii="Times New Roman" w:hAnsi="Times New Roman" w:cs="Times New Roman"/>
          <w:sz w:val="24"/>
          <w:szCs w:val="24"/>
        </w:rPr>
        <w:t>5</w:t>
      </w:r>
      <w:r w:rsidR="00944AFC" w:rsidRPr="00F7387A">
        <w:rPr>
          <w:rFonts w:ascii="Times New Roman" w:hAnsi="Times New Roman" w:cs="Times New Roman"/>
          <w:sz w:val="24"/>
          <w:szCs w:val="24"/>
        </w:rPr>
        <w:t>. godin</w:t>
      </w:r>
      <w:r w:rsidR="003E1731" w:rsidRPr="00F7387A">
        <w:rPr>
          <w:rFonts w:ascii="Times New Roman" w:hAnsi="Times New Roman" w:cs="Times New Roman"/>
          <w:sz w:val="24"/>
          <w:szCs w:val="24"/>
        </w:rPr>
        <w:t>u</w:t>
      </w:r>
      <w:r w:rsidR="00944AFC" w:rsidRPr="00F7387A">
        <w:rPr>
          <w:rFonts w:ascii="Times New Roman" w:hAnsi="Times New Roman" w:cs="Times New Roman"/>
          <w:sz w:val="24"/>
          <w:szCs w:val="24"/>
        </w:rPr>
        <w:t xml:space="preserve"> </w:t>
      </w:r>
      <w:r w:rsidR="00F0407F" w:rsidRPr="00F7387A">
        <w:rPr>
          <w:rFonts w:ascii="Times New Roman" w:hAnsi="Times New Roman" w:cs="Times New Roman"/>
          <w:sz w:val="24"/>
          <w:szCs w:val="24"/>
        </w:rPr>
        <w:t xml:space="preserve">prema ekonomskoj klasifikaciji </w:t>
      </w:r>
      <w:r w:rsidR="00527D78" w:rsidRPr="00F7387A">
        <w:rPr>
          <w:rFonts w:ascii="Times New Roman" w:hAnsi="Times New Roman" w:cs="Times New Roman"/>
          <w:sz w:val="24"/>
          <w:szCs w:val="24"/>
        </w:rPr>
        <w:t>prikaz</w:t>
      </w:r>
      <w:r w:rsidR="00F42C6D" w:rsidRPr="00F7387A">
        <w:rPr>
          <w:rFonts w:ascii="Times New Roman" w:hAnsi="Times New Roman" w:cs="Times New Roman"/>
          <w:sz w:val="24"/>
          <w:szCs w:val="24"/>
        </w:rPr>
        <w:t>uj</w:t>
      </w:r>
      <w:r w:rsidR="00D478FA" w:rsidRPr="00F7387A">
        <w:rPr>
          <w:rFonts w:ascii="Times New Roman" w:hAnsi="Times New Roman" w:cs="Times New Roman"/>
          <w:sz w:val="24"/>
          <w:szCs w:val="24"/>
        </w:rPr>
        <w:t>u</w:t>
      </w:r>
      <w:r w:rsidR="006375D9" w:rsidRPr="00F7387A">
        <w:rPr>
          <w:rFonts w:ascii="Times New Roman" w:hAnsi="Times New Roman" w:cs="Times New Roman"/>
          <w:sz w:val="24"/>
          <w:szCs w:val="24"/>
        </w:rPr>
        <w:t xml:space="preserve"> </w:t>
      </w:r>
      <w:r w:rsidR="008B76C3" w:rsidRPr="00F7387A">
        <w:rPr>
          <w:rFonts w:ascii="Times New Roman" w:hAnsi="Times New Roman" w:cs="Times New Roman"/>
          <w:sz w:val="24"/>
          <w:szCs w:val="24"/>
        </w:rPr>
        <w:t>tabel</w:t>
      </w:r>
      <w:r w:rsidR="00D478FA" w:rsidRPr="00F7387A">
        <w:rPr>
          <w:rFonts w:ascii="Times New Roman" w:hAnsi="Times New Roman" w:cs="Times New Roman"/>
          <w:sz w:val="24"/>
          <w:szCs w:val="24"/>
        </w:rPr>
        <w:t>e</w:t>
      </w:r>
      <w:r w:rsidR="008B76C3" w:rsidRPr="00F7387A">
        <w:rPr>
          <w:rFonts w:ascii="Times New Roman" w:hAnsi="Times New Roman" w:cs="Times New Roman"/>
          <w:sz w:val="24"/>
          <w:szCs w:val="24"/>
        </w:rPr>
        <w:t xml:space="preserve"> </w:t>
      </w:r>
      <w:r w:rsidR="0069074D" w:rsidRPr="00F7387A">
        <w:rPr>
          <w:rFonts w:ascii="Times New Roman" w:hAnsi="Times New Roman" w:cs="Times New Roman"/>
          <w:sz w:val="24"/>
          <w:szCs w:val="24"/>
        </w:rPr>
        <w:t xml:space="preserve">s oznakom </w:t>
      </w:r>
      <w:r w:rsidR="006375D9" w:rsidRPr="00F7387A">
        <w:rPr>
          <w:rFonts w:ascii="Times New Roman" w:hAnsi="Times New Roman" w:cs="Times New Roman"/>
          <w:sz w:val="24"/>
          <w:szCs w:val="24"/>
        </w:rPr>
        <w:t>A1</w:t>
      </w:r>
      <w:r w:rsidR="00F0407F" w:rsidRPr="00F7387A">
        <w:rPr>
          <w:rFonts w:ascii="Times New Roman" w:hAnsi="Times New Roman" w:cs="Times New Roman"/>
          <w:sz w:val="24"/>
          <w:szCs w:val="24"/>
        </w:rPr>
        <w:t>:</w:t>
      </w:r>
      <w:r w:rsidR="0069074D" w:rsidRPr="00F7387A">
        <w:rPr>
          <w:rFonts w:ascii="Times New Roman" w:hAnsi="Times New Roman" w:cs="Times New Roman"/>
          <w:sz w:val="24"/>
          <w:szCs w:val="24"/>
        </w:rPr>
        <w:t xml:space="preserve"> </w:t>
      </w:r>
      <w:r w:rsidR="009B33F7" w:rsidRPr="00F7387A">
        <w:rPr>
          <w:rFonts w:ascii="Times New Roman" w:hAnsi="Times New Roman" w:cs="Times New Roman"/>
          <w:sz w:val="24"/>
          <w:szCs w:val="24"/>
        </w:rPr>
        <w:t xml:space="preserve">zasebno za </w:t>
      </w:r>
      <w:r w:rsidR="00F42C6D" w:rsidRPr="00F7387A">
        <w:rPr>
          <w:rFonts w:ascii="Times New Roman" w:hAnsi="Times New Roman" w:cs="Times New Roman"/>
          <w:sz w:val="24"/>
          <w:szCs w:val="24"/>
        </w:rPr>
        <w:t xml:space="preserve">izvršenje </w:t>
      </w:r>
      <w:r w:rsidRPr="00F7387A">
        <w:rPr>
          <w:rFonts w:ascii="Times New Roman" w:hAnsi="Times New Roman" w:cs="Times New Roman"/>
          <w:sz w:val="24"/>
          <w:szCs w:val="24"/>
        </w:rPr>
        <w:t xml:space="preserve">prihoda i </w:t>
      </w:r>
      <w:r w:rsidR="009B33F7" w:rsidRPr="00F7387A">
        <w:rPr>
          <w:rFonts w:ascii="Times New Roman" w:hAnsi="Times New Roman" w:cs="Times New Roman"/>
          <w:sz w:val="24"/>
          <w:szCs w:val="24"/>
        </w:rPr>
        <w:t xml:space="preserve">zasebno za </w:t>
      </w:r>
      <w:r w:rsidR="00D478FA" w:rsidRPr="00F7387A">
        <w:rPr>
          <w:rFonts w:ascii="Times New Roman" w:hAnsi="Times New Roman" w:cs="Times New Roman"/>
          <w:sz w:val="24"/>
          <w:szCs w:val="24"/>
        </w:rPr>
        <w:t xml:space="preserve">izvršenje </w:t>
      </w:r>
      <w:r w:rsidRPr="00F7387A">
        <w:rPr>
          <w:rFonts w:ascii="Times New Roman" w:hAnsi="Times New Roman" w:cs="Times New Roman"/>
          <w:sz w:val="24"/>
          <w:szCs w:val="24"/>
        </w:rPr>
        <w:t>rashoda</w:t>
      </w:r>
      <w:r w:rsidR="004F445A" w:rsidRPr="00F7387A">
        <w:rPr>
          <w:rFonts w:ascii="Times New Roman" w:hAnsi="Times New Roman" w:cs="Times New Roman"/>
          <w:sz w:val="24"/>
          <w:szCs w:val="24"/>
        </w:rPr>
        <w:t xml:space="preserve">. Prikazana su izvršenja </w:t>
      </w:r>
      <w:r w:rsidR="00F42C6D" w:rsidRPr="00F7387A">
        <w:rPr>
          <w:rFonts w:ascii="Times New Roman" w:hAnsi="Times New Roman" w:cs="Times New Roman"/>
          <w:sz w:val="24"/>
          <w:szCs w:val="24"/>
        </w:rPr>
        <w:t>u 202</w:t>
      </w:r>
      <w:r w:rsidR="0084106B" w:rsidRPr="00F7387A">
        <w:rPr>
          <w:rFonts w:ascii="Times New Roman" w:hAnsi="Times New Roman" w:cs="Times New Roman"/>
          <w:sz w:val="24"/>
          <w:szCs w:val="24"/>
        </w:rPr>
        <w:t>4</w:t>
      </w:r>
      <w:r w:rsidR="00F42C6D" w:rsidRPr="00F7387A">
        <w:rPr>
          <w:rFonts w:ascii="Times New Roman" w:hAnsi="Times New Roman" w:cs="Times New Roman"/>
          <w:sz w:val="24"/>
          <w:szCs w:val="24"/>
        </w:rPr>
        <w:t xml:space="preserve">. </w:t>
      </w:r>
      <w:r w:rsidR="004F445A" w:rsidRPr="00F7387A">
        <w:rPr>
          <w:rFonts w:ascii="Times New Roman" w:hAnsi="Times New Roman" w:cs="Times New Roman"/>
          <w:sz w:val="24"/>
          <w:szCs w:val="24"/>
        </w:rPr>
        <w:t>godini, planirane vrijednosti u 202</w:t>
      </w:r>
      <w:r w:rsidR="0084106B" w:rsidRPr="00F7387A">
        <w:rPr>
          <w:rFonts w:ascii="Times New Roman" w:hAnsi="Times New Roman" w:cs="Times New Roman"/>
          <w:sz w:val="24"/>
          <w:szCs w:val="24"/>
        </w:rPr>
        <w:t>5</w:t>
      </w:r>
      <w:r w:rsidR="004F445A" w:rsidRPr="00F7387A">
        <w:rPr>
          <w:rFonts w:ascii="Times New Roman" w:hAnsi="Times New Roman" w:cs="Times New Roman"/>
          <w:sz w:val="24"/>
          <w:szCs w:val="24"/>
        </w:rPr>
        <w:t xml:space="preserve">. godini </w:t>
      </w:r>
      <w:r w:rsidR="00F42C6D" w:rsidRPr="00F7387A">
        <w:rPr>
          <w:rFonts w:ascii="Times New Roman" w:hAnsi="Times New Roman" w:cs="Times New Roman"/>
          <w:sz w:val="24"/>
          <w:szCs w:val="24"/>
        </w:rPr>
        <w:t xml:space="preserve">i </w:t>
      </w:r>
      <w:r w:rsidR="004F445A" w:rsidRPr="00F7387A">
        <w:rPr>
          <w:rFonts w:ascii="Times New Roman" w:hAnsi="Times New Roman" w:cs="Times New Roman"/>
          <w:sz w:val="24"/>
          <w:szCs w:val="24"/>
        </w:rPr>
        <w:t xml:space="preserve">izvršenja u </w:t>
      </w:r>
      <w:r w:rsidRPr="00F7387A">
        <w:rPr>
          <w:rFonts w:ascii="Times New Roman" w:hAnsi="Times New Roman" w:cs="Times New Roman"/>
          <w:sz w:val="24"/>
          <w:szCs w:val="24"/>
        </w:rPr>
        <w:t>202</w:t>
      </w:r>
      <w:r w:rsidR="0084106B" w:rsidRPr="00F7387A">
        <w:rPr>
          <w:rFonts w:ascii="Times New Roman" w:hAnsi="Times New Roman" w:cs="Times New Roman"/>
          <w:sz w:val="24"/>
          <w:szCs w:val="24"/>
        </w:rPr>
        <w:t>5</w:t>
      </w:r>
      <w:r w:rsidRPr="00F7387A">
        <w:rPr>
          <w:rFonts w:ascii="Times New Roman" w:hAnsi="Times New Roman" w:cs="Times New Roman"/>
          <w:sz w:val="24"/>
          <w:szCs w:val="24"/>
        </w:rPr>
        <w:t>. godini</w:t>
      </w:r>
      <w:r w:rsidR="00D478FA" w:rsidRPr="00F7387A">
        <w:rPr>
          <w:rFonts w:ascii="Times New Roman" w:hAnsi="Times New Roman" w:cs="Times New Roman"/>
          <w:sz w:val="24"/>
          <w:szCs w:val="24"/>
        </w:rPr>
        <w:t xml:space="preserve">. </w:t>
      </w:r>
      <w:r w:rsidR="00F42C6D" w:rsidRPr="00F7387A">
        <w:rPr>
          <w:rFonts w:ascii="Times New Roman" w:hAnsi="Times New Roman" w:cs="Times New Roman"/>
          <w:sz w:val="24"/>
          <w:szCs w:val="24"/>
        </w:rPr>
        <w:t xml:space="preserve"> </w:t>
      </w:r>
      <w:r w:rsidR="004F445A" w:rsidRPr="00F7387A">
        <w:rPr>
          <w:rFonts w:ascii="Times New Roman" w:hAnsi="Times New Roman" w:cs="Times New Roman"/>
          <w:sz w:val="24"/>
          <w:szCs w:val="24"/>
        </w:rPr>
        <w:t xml:space="preserve">S obzirom na to da se financijski planovi usvajaju na drugoj razini </w:t>
      </w:r>
      <w:proofErr w:type="spellStart"/>
      <w:r w:rsidR="004F445A" w:rsidRPr="00F7387A">
        <w:rPr>
          <w:rFonts w:ascii="Times New Roman" w:hAnsi="Times New Roman" w:cs="Times New Roman"/>
          <w:sz w:val="24"/>
          <w:szCs w:val="24"/>
        </w:rPr>
        <w:t>kontnog</w:t>
      </w:r>
      <w:proofErr w:type="spellEnd"/>
      <w:r w:rsidR="004F445A" w:rsidRPr="00F7387A">
        <w:rPr>
          <w:rFonts w:ascii="Times New Roman" w:hAnsi="Times New Roman" w:cs="Times New Roman"/>
          <w:sz w:val="24"/>
          <w:szCs w:val="24"/>
        </w:rPr>
        <w:t xml:space="preserve"> plana, indeksi izvršenja plana su upisani na drugoj razini </w:t>
      </w:r>
      <w:proofErr w:type="spellStart"/>
      <w:r w:rsidR="004F445A" w:rsidRPr="00F7387A">
        <w:rPr>
          <w:rFonts w:ascii="Times New Roman" w:hAnsi="Times New Roman" w:cs="Times New Roman"/>
          <w:sz w:val="24"/>
          <w:szCs w:val="24"/>
        </w:rPr>
        <w:t>kontnog</w:t>
      </w:r>
      <w:proofErr w:type="spellEnd"/>
      <w:r w:rsidR="004F445A" w:rsidRPr="00F7387A">
        <w:rPr>
          <w:rFonts w:ascii="Times New Roman" w:hAnsi="Times New Roman" w:cs="Times New Roman"/>
          <w:sz w:val="24"/>
          <w:szCs w:val="24"/>
        </w:rPr>
        <w:t xml:space="preserve"> plana.</w:t>
      </w:r>
      <w:r w:rsidR="00D478FA" w:rsidRPr="00F7387A">
        <w:rPr>
          <w:rFonts w:ascii="Times New Roman" w:hAnsi="Times New Roman" w:cs="Times New Roman"/>
          <w:sz w:val="24"/>
          <w:szCs w:val="24"/>
        </w:rPr>
        <w:t xml:space="preserve"> Dodatno, na četvrtoj razini </w:t>
      </w:r>
      <w:proofErr w:type="spellStart"/>
      <w:r w:rsidR="00D478FA" w:rsidRPr="00F7387A">
        <w:rPr>
          <w:rFonts w:ascii="Times New Roman" w:hAnsi="Times New Roman" w:cs="Times New Roman"/>
          <w:sz w:val="24"/>
          <w:szCs w:val="24"/>
        </w:rPr>
        <w:t>kon</w:t>
      </w:r>
      <w:r w:rsidR="004F445A" w:rsidRPr="00F7387A">
        <w:rPr>
          <w:rFonts w:ascii="Times New Roman" w:hAnsi="Times New Roman" w:cs="Times New Roman"/>
          <w:sz w:val="24"/>
          <w:szCs w:val="24"/>
        </w:rPr>
        <w:t>tnog</w:t>
      </w:r>
      <w:proofErr w:type="spellEnd"/>
      <w:r w:rsidR="004F445A" w:rsidRPr="00F7387A">
        <w:rPr>
          <w:rFonts w:ascii="Times New Roman" w:hAnsi="Times New Roman" w:cs="Times New Roman"/>
          <w:sz w:val="24"/>
          <w:szCs w:val="24"/>
        </w:rPr>
        <w:t xml:space="preserve"> plana</w:t>
      </w:r>
      <w:r w:rsidR="00D478FA" w:rsidRPr="00F7387A">
        <w:rPr>
          <w:rFonts w:ascii="Times New Roman" w:hAnsi="Times New Roman" w:cs="Times New Roman"/>
          <w:sz w:val="24"/>
          <w:szCs w:val="24"/>
        </w:rPr>
        <w:t xml:space="preserve"> </w:t>
      </w:r>
      <w:r w:rsidR="004F445A" w:rsidRPr="00F7387A">
        <w:rPr>
          <w:rFonts w:ascii="Times New Roman" w:hAnsi="Times New Roman" w:cs="Times New Roman"/>
          <w:sz w:val="24"/>
          <w:szCs w:val="24"/>
        </w:rPr>
        <w:t>izračunati su indeksi ostvarenja prihoda i rashoda u odnosu na izvršenje 202</w:t>
      </w:r>
      <w:r w:rsidR="0069074D" w:rsidRPr="00F7387A">
        <w:rPr>
          <w:rFonts w:ascii="Times New Roman" w:hAnsi="Times New Roman" w:cs="Times New Roman"/>
          <w:sz w:val="24"/>
          <w:szCs w:val="24"/>
        </w:rPr>
        <w:t>4</w:t>
      </w:r>
      <w:r w:rsidR="004F445A" w:rsidRPr="00F7387A">
        <w:rPr>
          <w:rFonts w:ascii="Times New Roman" w:hAnsi="Times New Roman" w:cs="Times New Roman"/>
          <w:sz w:val="24"/>
          <w:szCs w:val="24"/>
        </w:rPr>
        <w:t xml:space="preserve">. godine što je </w:t>
      </w:r>
      <w:r w:rsidR="00D478FA" w:rsidRPr="00F7387A">
        <w:rPr>
          <w:rFonts w:ascii="Times New Roman" w:hAnsi="Times New Roman" w:cs="Times New Roman"/>
          <w:sz w:val="24"/>
          <w:szCs w:val="24"/>
        </w:rPr>
        <w:t>zadano predlošk</w:t>
      </w:r>
      <w:r w:rsidR="004F445A" w:rsidRPr="00F7387A">
        <w:rPr>
          <w:rFonts w:ascii="Times New Roman" w:hAnsi="Times New Roman" w:cs="Times New Roman"/>
          <w:sz w:val="24"/>
          <w:szCs w:val="24"/>
        </w:rPr>
        <w:t xml:space="preserve">om izvještaja </w:t>
      </w:r>
      <w:r w:rsidR="00D478FA" w:rsidRPr="00F7387A">
        <w:rPr>
          <w:rFonts w:ascii="Times New Roman" w:hAnsi="Times New Roman" w:cs="Times New Roman"/>
          <w:sz w:val="24"/>
          <w:szCs w:val="24"/>
        </w:rPr>
        <w:t xml:space="preserve">nadležnog ministarstva.  </w:t>
      </w:r>
      <w:r w:rsidR="006375D9" w:rsidRPr="00F7387A">
        <w:rPr>
          <w:rFonts w:ascii="Times New Roman" w:hAnsi="Times New Roman" w:cs="Times New Roman"/>
          <w:sz w:val="24"/>
          <w:szCs w:val="24"/>
        </w:rPr>
        <w:t xml:space="preserve"> </w:t>
      </w:r>
    </w:p>
    <w:p w14:paraId="54B0B906" w14:textId="77777777" w:rsidR="005D26EF" w:rsidRDefault="00887B51" w:rsidP="006375D9">
      <w:pPr>
        <w:jc w:val="both"/>
        <w:rPr>
          <w:rFonts w:ascii="Times New Roman" w:hAnsi="Times New Roman" w:cs="Times New Roman"/>
          <w:sz w:val="24"/>
          <w:szCs w:val="24"/>
        </w:rPr>
      </w:pPr>
      <w:r w:rsidRPr="00F7387A">
        <w:rPr>
          <w:rFonts w:ascii="Times New Roman" w:hAnsi="Times New Roman" w:cs="Times New Roman"/>
          <w:sz w:val="24"/>
          <w:szCs w:val="24"/>
        </w:rPr>
        <w:t>U odnosu na planirane prihode</w:t>
      </w:r>
      <w:r w:rsidR="00194CB6" w:rsidRPr="00F7387A">
        <w:rPr>
          <w:rFonts w:ascii="Times New Roman" w:hAnsi="Times New Roman" w:cs="Times New Roman"/>
          <w:sz w:val="24"/>
          <w:szCs w:val="24"/>
        </w:rPr>
        <w:t xml:space="preserve"> u 202</w:t>
      </w:r>
      <w:r w:rsidR="0084106B" w:rsidRPr="00F7387A">
        <w:rPr>
          <w:rFonts w:ascii="Times New Roman" w:hAnsi="Times New Roman" w:cs="Times New Roman"/>
          <w:sz w:val="24"/>
          <w:szCs w:val="24"/>
        </w:rPr>
        <w:t>5</w:t>
      </w:r>
      <w:r w:rsidR="00194CB6" w:rsidRPr="00F7387A">
        <w:rPr>
          <w:rFonts w:ascii="Times New Roman" w:hAnsi="Times New Roman" w:cs="Times New Roman"/>
          <w:sz w:val="24"/>
          <w:szCs w:val="24"/>
        </w:rPr>
        <w:t>. godini</w:t>
      </w:r>
      <w:r w:rsidRPr="00F7387A">
        <w:rPr>
          <w:rFonts w:ascii="Times New Roman" w:hAnsi="Times New Roman" w:cs="Times New Roman"/>
          <w:sz w:val="24"/>
          <w:szCs w:val="24"/>
        </w:rPr>
        <w:t xml:space="preserve">, prema ekonomskoj klasifikaciji </w:t>
      </w:r>
      <w:r w:rsidR="00D478FA" w:rsidRPr="00F7387A">
        <w:rPr>
          <w:rFonts w:ascii="Times New Roman" w:hAnsi="Times New Roman" w:cs="Times New Roman"/>
          <w:sz w:val="24"/>
          <w:szCs w:val="24"/>
        </w:rPr>
        <w:t>druge razine konta</w:t>
      </w:r>
      <w:r w:rsidR="007C4967" w:rsidRPr="00F7387A">
        <w:rPr>
          <w:rFonts w:ascii="Times New Roman" w:hAnsi="Times New Roman" w:cs="Times New Roman"/>
          <w:sz w:val="24"/>
          <w:szCs w:val="24"/>
        </w:rPr>
        <w:t>,</w:t>
      </w:r>
      <w:r w:rsidR="00D478FA" w:rsidRPr="00F7387A">
        <w:rPr>
          <w:rFonts w:ascii="Times New Roman" w:hAnsi="Times New Roman" w:cs="Times New Roman"/>
          <w:sz w:val="24"/>
          <w:szCs w:val="24"/>
        </w:rPr>
        <w:t xml:space="preserve"> </w:t>
      </w:r>
      <w:r w:rsidRPr="00F7387A">
        <w:rPr>
          <w:rFonts w:ascii="Times New Roman" w:hAnsi="Times New Roman" w:cs="Times New Roman"/>
          <w:sz w:val="24"/>
          <w:szCs w:val="24"/>
        </w:rPr>
        <w:t xml:space="preserve">ostvareni </w:t>
      </w:r>
      <w:r w:rsidR="0069074D" w:rsidRPr="00F7387A">
        <w:rPr>
          <w:rFonts w:ascii="Times New Roman" w:hAnsi="Times New Roman" w:cs="Times New Roman"/>
          <w:sz w:val="24"/>
          <w:szCs w:val="24"/>
        </w:rPr>
        <w:t xml:space="preserve">ukupni </w:t>
      </w:r>
      <w:r w:rsidR="007C4967" w:rsidRPr="00F7387A">
        <w:rPr>
          <w:rFonts w:ascii="Times New Roman" w:hAnsi="Times New Roman" w:cs="Times New Roman"/>
          <w:sz w:val="24"/>
          <w:szCs w:val="24"/>
        </w:rPr>
        <w:t xml:space="preserve">prihodi su </w:t>
      </w:r>
      <w:r w:rsidR="0069074D" w:rsidRPr="00F7387A">
        <w:rPr>
          <w:rFonts w:ascii="Times New Roman" w:hAnsi="Times New Roman" w:cs="Times New Roman"/>
          <w:sz w:val="24"/>
          <w:szCs w:val="24"/>
        </w:rPr>
        <w:t xml:space="preserve">manji za 3,33%. U odnosu na ostvarene prihode u 2024. godini, </w:t>
      </w:r>
      <w:r w:rsidR="00FD1276" w:rsidRPr="00F7387A">
        <w:rPr>
          <w:rFonts w:ascii="Times New Roman" w:hAnsi="Times New Roman" w:cs="Times New Roman"/>
          <w:sz w:val="24"/>
          <w:szCs w:val="24"/>
        </w:rPr>
        <w:t xml:space="preserve">ostvareni </w:t>
      </w:r>
      <w:r w:rsidR="0069074D" w:rsidRPr="00F7387A">
        <w:rPr>
          <w:rFonts w:ascii="Times New Roman" w:hAnsi="Times New Roman" w:cs="Times New Roman"/>
          <w:sz w:val="24"/>
          <w:szCs w:val="24"/>
        </w:rPr>
        <w:t>prihodi u 2025.</w:t>
      </w:r>
      <w:r w:rsidR="00FD1276" w:rsidRPr="00F7387A">
        <w:rPr>
          <w:rFonts w:ascii="Times New Roman" w:hAnsi="Times New Roman" w:cs="Times New Roman"/>
          <w:sz w:val="24"/>
          <w:szCs w:val="24"/>
        </w:rPr>
        <w:t xml:space="preserve"> su manji za 3,47%. </w:t>
      </w:r>
    </w:p>
    <w:p w14:paraId="73BD5B50" w14:textId="3CA6E50E" w:rsidR="007C4967" w:rsidRPr="003B44F1" w:rsidRDefault="00FD1276" w:rsidP="006375D9">
      <w:pPr>
        <w:jc w:val="both"/>
        <w:rPr>
          <w:rFonts w:ascii="Times New Roman" w:hAnsi="Times New Roman" w:cs="Times New Roman"/>
          <w:sz w:val="24"/>
          <w:szCs w:val="24"/>
        </w:rPr>
      </w:pPr>
      <w:r w:rsidRPr="00F3763B">
        <w:rPr>
          <w:rFonts w:ascii="Times New Roman" w:hAnsi="Times New Roman" w:cs="Times New Roman"/>
          <w:sz w:val="24"/>
          <w:szCs w:val="24"/>
        </w:rPr>
        <w:t xml:space="preserve">U </w:t>
      </w:r>
      <w:r w:rsidR="00F3763B" w:rsidRPr="00F3763B">
        <w:rPr>
          <w:rFonts w:ascii="Times New Roman" w:hAnsi="Times New Roman" w:cs="Times New Roman"/>
          <w:sz w:val="24"/>
          <w:szCs w:val="24"/>
        </w:rPr>
        <w:t>o</w:t>
      </w:r>
      <w:r w:rsidR="00F3763B" w:rsidRPr="00F7387A">
        <w:rPr>
          <w:rFonts w:ascii="Times New Roman" w:hAnsi="Times New Roman" w:cs="Times New Roman"/>
          <w:sz w:val="24"/>
          <w:szCs w:val="24"/>
        </w:rPr>
        <w:t>dnosu na planirane prihode u 2025. godin</w:t>
      </w:r>
      <w:r w:rsidR="00F3763B" w:rsidRPr="003B44F1">
        <w:rPr>
          <w:rFonts w:ascii="Times New Roman" w:hAnsi="Times New Roman" w:cs="Times New Roman"/>
          <w:sz w:val="24"/>
          <w:szCs w:val="24"/>
        </w:rPr>
        <w:t>i</w:t>
      </w:r>
      <w:r w:rsidRPr="003B44F1">
        <w:rPr>
          <w:rFonts w:ascii="Times New Roman" w:hAnsi="Times New Roman" w:cs="Times New Roman"/>
          <w:sz w:val="24"/>
          <w:szCs w:val="24"/>
        </w:rPr>
        <w:t xml:space="preserve">, </w:t>
      </w:r>
      <w:r w:rsidR="005D26EF" w:rsidRPr="00F3763B">
        <w:rPr>
          <w:rFonts w:ascii="Times New Roman" w:hAnsi="Times New Roman" w:cs="Times New Roman"/>
          <w:sz w:val="24"/>
          <w:szCs w:val="24"/>
        </w:rPr>
        <w:t xml:space="preserve">ostvareni </w:t>
      </w:r>
      <w:r w:rsidRPr="00F3763B">
        <w:rPr>
          <w:rFonts w:ascii="Times New Roman" w:hAnsi="Times New Roman" w:cs="Times New Roman"/>
          <w:sz w:val="24"/>
          <w:szCs w:val="24"/>
        </w:rPr>
        <w:t xml:space="preserve">prihodi iz proračuna su </w:t>
      </w:r>
      <w:r w:rsidR="00F3763B" w:rsidRPr="00F3763B">
        <w:rPr>
          <w:rFonts w:ascii="Times New Roman" w:hAnsi="Times New Roman" w:cs="Times New Roman"/>
          <w:sz w:val="24"/>
          <w:szCs w:val="24"/>
        </w:rPr>
        <w:t>u razini planiranih iznosa</w:t>
      </w:r>
      <w:r w:rsidR="0069074D" w:rsidRPr="00F3763B">
        <w:rPr>
          <w:rFonts w:ascii="Times New Roman" w:hAnsi="Times New Roman" w:cs="Times New Roman"/>
          <w:sz w:val="24"/>
          <w:szCs w:val="24"/>
        </w:rPr>
        <w:t xml:space="preserve"> </w:t>
      </w:r>
      <w:r w:rsidR="008805B7" w:rsidRPr="00F3763B">
        <w:rPr>
          <w:rFonts w:ascii="Times New Roman" w:hAnsi="Times New Roman" w:cs="Times New Roman"/>
          <w:sz w:val="24"/>
          <w:szCs w:val="24"/>
        </w:rPr>
        <w:t xml:space="preserve">(konto 67), dok su vlastiti prihodi (konto 66) manji u odnosu na </w:t>
      </w:r>
      <w:r w:rsidR="00F3763B" w:rsidRPr="00F3763B">
        <w:rPr>
          <w:rFonts w:ascii="Times New Roman" w:hAnsi="Times New Roman" w:cs="Times New Roman"/>
          <w:sz w:val="24"/>
          <w:szCs w:val="24"/>
        </w:rPr>
        <w:t>planirane prihode u</w:t>
      </w:r>
      <w:r w:rsidR="008805B7" w:rsidRPr="00F3763B">
        <w:rPr>
          <w:rFonts w:ascii="Times New Roman" w:hAnsi="Times New Roman" w:cs="Times New Roman"/>
          <w:sz w:val="24"/>
          <w:szCs w:val="24"/>
        </w:rPr>
        <w:t xml:space="preserve"> 202</w:t>
      </w:r>
      <w:r w:rsidR="00F3763B" w:rsidRPr="00F3763B">
        <w:rPr>
          <w:rFonts w:ascii="Times New Roman" w:hAnsi="Times New Roman" w:cs="Times New Roman"/>
          <w:sz w:val="24"/>
          <w:szCs w:val="24"/>
        </w:rPr>
        <w:t>5</w:t>
      </w:r>
      <w:r w:rsidR="008805B7" w:rsidRPr="00F3763B">
        <w:rPr>
          <w:rFonts w:ascii="Times New Roman" w:hAnsi="Times New Roman" w:cs="Times New Roman"/>
          <w:sz w:val="24"/>
          <w:szCs w:val="24"/>
        </w:rPr>
        <w:t>. godini</w:t>
      </w:r>
      <w:r w:rsidR="00F3763B" w:rsidRPr="00F3763B">
        <w:rPr>
          <w:rFonts w:ascii="Times New Roman" w:hAnsi="Times New Roman" w:cs="Times New Roman"/>
          <w:sz w:val="24"/>
          <w:szCs w:val="24"/>
        </w:rPr>
        <w:t xml:space="preserve"> za </w:t>
      </w:r>
      <w:r w:rsidR="00D77D0D" w:rsidRPr="00F3763B">
        <w:rPr>
          <w:rFonts w:ascii="Times New Roman" w:hAnsi="Times New Roman" w:cs="Times New Roman"/>
          <w:sz w:val="24"/>
          <w:szCs w:val="24"/>
        </w:rPr>
        <w:t>34,44%</w:t>
      </w:r>
      <w:r w:rsidR="00F3763B" w:rsidRPr="00F3763B">
        <w:rPr>
          <w:rFonts w:ascii="Times New Roman" w:hAnsi="Times New Roman" w:cs="Times New Roman"/>
          <w:sz w:val="24"/>
          <w:szCs w:val="24"/>
        </w:rPr>
        <w:t>.</w:t>
      </w:r>
      <w:r w:rsidR="003B44F1">
        <w:rPr>
          <w:rFonts w:ascii="Times New Roman" w:hAnsi="Times New Roman" w:cs="Times New Roman"/>
          <w:color w:val="EE0000"/>
          <w:sz w:val="24"/>
          <w:szCs w:val="24"/>
        </w:rPr>
        <w:t xml:space="preserve"> </w:t>
      </w:r>
      <w:r w:rsidR="00F3763B" w:rsidRPr="003B44F1">
        <w:rPr>
          <w:rFonts w:ascii="Times New Roman" w:hAnsi="Times New Roman" w:cs="Times New Roman"/>
          <w:sz w:val="24"/>
          <w:szCs w:val="24"/>
        </w:rPr>
        <w:t>U 2024. i 2025. godini je sklopljen približno isti broj ugovora za provođenje projekata na tržištu, u obje godine sve usluge su pravovremeno isporučene i svi prihodi naplaćeni pravovremeno. U 2024. godini ugovori imali veću ugovornu vrijednost i zato su odnosu na 2024. godinu, prihodi od pruženih usluga u 2025. godini manji.</w:t>
      </w:r>
    </w:p>
    <w:p w14:paraId="0DD6F8A8" w14:textId="029A4FCC" w:rsidR="002B3521" w:rsidRPr="00F7387A" w:rsidRDefault="003B44F1" w:rsidP="006375D9">
      <w:pPr>
        <w:jc w:val="both"/>
        <w:rPr>
          <w:rFonts w:ascii="Times New Roman" w:hAnsi="Times New Roman" w:cs="Times New Roman"/>
          <w:sz w:val="24"/>
          <w:szCs w:val="24"/>
        </w:rPr>
      </w:pPr>
      <w:r w:rsidRPr="003B44F1">
        <w:rPr>
          <w:rFonts w:ascii="Times New Roman" w:hAnsi="Times New Roman" w:cs="Times New Roman"/>
          <w:sz w:val="24"/>
          <w:szCs w:val="24"/>
        </w:rPr>
        <w:t>Ukupni r</w:t>
      </w:r>
      <w:r w:rsidR="00B463CE" w:rsidRPr="003B44F1">
        <w:rPr>
          <w:rFonts w:ascii="Times New Roman" w:hAnsi="Times New Roman" w:cs="Times New Roman"/>
          <w:sz w:val="24"/>
          <w:szCs w:val="24"/>
        </w:rPr>
        <w:t xml:space="preserve">ashodi ostvarili </w:t>
      </w:r>
      <w:r w:rsidRPr="003B44F1">
        <w:rPr>
          <w:rFonts w:ascii="Times New Roman" w:hAnsi="Times New Roman" w:cs="Times New Roman"/>
          <w:sz w:val="24"/>
          <w:szCs w:val="24"/>
        </w:rPr>
        <w:t xml:space="preserve">su se </w:t>
      </w:r>
      <w:r w:rsidR="00B463CE" w:rsidRPr="003B44F1">
        <w:rPr>
          <w:rFonts w:ascii="Times New Roman" w:hAnsi="Times New Roman" w:cs="Times New Roman"/>
          <w:sz w:val="24"/>
          <w:szCs w:val="24"/>
        </w:rPr>
        <w:t>unutar raspoloživih sredstava</w:t>
      </w:r>
      <w:r w:rsidR="007C4967" w:rsidRPr="003B44F1">
        <w:rPr>
          <w:rFonts w:ascii="Times New Roman" w:hAnsi="Times New Roman" w:cs="Times New Roman"/>
          <w:sz w:val="24"/>
          <w:szCs w:val="24"/>
        </w:rPr>
        <w:t xml:space="preserve">. </w:t>
      </w:r>
      <w:r w:rsidR="007C4967" w:rsidRPr="00F7387A">
        <w:rPr>
          <w:rFonts w:ascii="Times New Roman" w:hAnsi="Times New Roman" w:cs="Times New Roman"/>
          <w:sz w:val="24"/>
          <w:szCs w:val="24"/>
        </w:rPr>
        <w:t xml:space="preserve">U odnosu na planirane ukupni rashodi su manji za </w:t>
      </w:r>
      <w:r w:rsidR="00B463CE" w:rsidRPr="00F7387A">
        <w:rPr>
          <w:rFonts w:ascii="Times New Roman" w:hAnsi="Times New Roman" w:cs="Times New Roman"/>
          <w:sz w:val="24"/>
          <w:szCs w:val="24"/>
        </w:rPr>
        <w:t xml:space="preserve"> </w:t>
      </w:r>
      <w:r w:rsidR="008805B7" w:rsidRPr="00F7387A">
        <w:rPr>
          <w:rFonts w:ascii="Times New Roman" w:hAnsi="Times New Roman" w:cs="Times New Roman"/>
          <w:sz w:val="24"/>
          <w:szCs w:val="24"/>
        </w:rPr>
        <w:t>7</w:t>
      </w:r>
      <w:r w:rsidR="007C4967" w:rsidRPr="00F7387A">
        <w:rPr>
          <w:rFonts w:ascii="Times New Roman" w:hAnsi="Times New Roman" w:cs="Times New Roman"/>
          <w:sz w:val="24"/>
          <w:szCs w:val="24"/>
        </w:rPr>
        <w:t>,</w:t>
      </w:r>
      <w:r w:rsidR="008805B7" w:rsidRPr="00F7387A">
        <w:rPr>
          <w:rFonts w:ascii="Times New Roman" w:hAnsi="Times New Roman" w:cs="Times New Roman"/>
          <w:sz w:val="24"/>
          <w:szCs w:val="24"/>
        </w:rPr>
        <w:t>19</w:t>
      </w:r>
      <w:r w:rsidR="007C4967" w:rsidRPr="00F7387A">
        <w:rPr>
          <w:rFonts w:ascii="Times New Roman" w:hAnsi="Times New Roman" w:cs="Times New Roman"/>
          <w:sz w:val="24"/>
          <w:szCs w:val="24"/>
        </w:rPr>
        <w:t>%.</w:t>
      </w:r>
    </w:p>
    <w:p w14:paraId="072BC163" w14:textId="49902FCC" w:rsidR="008805B7" w:rsidRPr="00F7387A" w:rsidRDefault="007C4967" w:rsidP="006375D9">
      <w:pPr>
        <w:jc w:val="both"/>
        <w:rPr>
          <w:rFonts w:ascii="Times New Roman" w:hAnsi="Times New Roman" w:cs="Times New Roman"/>
          <w:sz w:val="24"/>
          <w:szCs w:val="24"/>
        </w:rPr>
      </w:pPr>
      <w:r w:rsidRPr="00F7387A">
        <w:rPr>
          <w:rFonts w:ascii="Times New Roman" w:hAnsi="Times New Roman" w:cs="Times New Roman"/>
          <w:sz w:val="24"/>
          <w:szCs w:val="24"/>
        </w:rPr>
        <w:t xml:space="preserve">Rashodi </w:t>
      </w:r>
      <w:r w:rsidR="008805B7" w:rsidRPr="00F7387A">
        <w:rPr>
          <w:rFonts w:ascii="Times New Roman" w:hAnsi="Times New Roman" w:cs="Times New Roman"/>
          <w:sz w:val="24"/>
          <w:szCs w:val="24"/>
        </w:rPr>
        <w:t xml:space="preserve">poslovanja (konto 3) manji su za 7,89%. </w:t>
      </w:r>
      <w:r w:rsidR="0092170C" w:rsidRPr="00F7387A">
        <w:rPr>
          <w:rFonts w:ascii="Times New Roman" w:hAnsi="Times New Roman" w:cs="Times New Roman"/>
          <w:sz w:val="24"/>
          <w:szCs w:val="24"/>
        </w:rPr>
        <w:t>Ostvareni r</w:t>
      </w:r>
      <w:r w:rsidR="008805B7" w:rsidRPr="00F7387A">
        <w:rPr>
          <w:rFonts w:ascii="Times New Roman" w:hAnsi="Times New Roman" w:cs="Times New Roman"/>
          <w:sz w:val="24"/>
          <w:szCs w:val="24"/>
        </w:rPr>
        <w:t xml:space="preserve">ashodi za zaposlene </w:t>
      </w:r>
      <w:r w:rsidR="0092170C" w:rsidRPr="00F7387A">
        <w:rPr>
          <w:rFonts w:ascii="Times New Roman" w:hAnsi="Times New Roman" w:cs="Times New Roman"/>
          <w:sz w:val="24"/>
          <w:szCs w:val="24"/>
        </w:rPr>
        <w:t xml:space="preserve">u 2025. godini </w:t>
      </w:r>
      <w:r w:rsidR="008805B7" w:rsidRPr="00F7387A">
        <w:rPr>
          <w:rFonts w:ascii="Times New Roman" w:hAnsi="Times New Roman" w:cs="Times New Roman"/>
          <w:sz w:val="24"/>
          <w:szCs w:val="24"/>
        </w:rPr>
        <w:t>(konto 31)</w:t>
      </w:r>
      <w:r w:rsidR="0092170C" w:rsidRPr="00F7387A">
        <w:rPr>
          <w:rFonts w:ascii="Times New Roman" w:hAnsi="Times New Roman" w:cs="Times New Roman"/>
          <w:sz w:val="24"/>
          <w:szCs w:val="24"/>
        </w:rPr>
        <w:t xml:space="preserve"> su veći u odnosu na ostvarene u 2024. godini za 9,82% te u odnosu na planirane manji za 1,26%. U odnosu na ostvareno u prošloj godini materijalni rashodi (konto 32) su veći za 7,11%, ali u odnosu na planirane su manji za 28,81%.</w:t>
      </w:r>
      <w:r w:rsidR="00523985" w:rsidRPr="00F7387A">
        <w:rPr>
          <w:rFonts w:ascii="Times New Roman" w:hAnsi="Times New Roman" w:cs="Times New Roman"/>
          <w:sz w:val="24"/>
          <w:szCs w:val="24"/>
        </w:rPr>
        <w:t xml:space="preserve"> Financijski rashodi (konto 34) su manji za 24,78% u odnosu na planirana sredstva, a na poziciji unutar koje financiramo školarine za doktorande (konto 37) rashodi su manji za 65,64%. Na skupini konta 37 planiramo iznose koji odražavaju pune školarine jer nije izvjesno u kojem postotku će </w:t>
      </w:r>
      <w:r w:rsidR="00E57F0A" w:rsidRPr="00F7387A">
        <w:rPr>
          <w:rFonts w:ascii="Times New Roman" w:hAnsi="Times New Roman" w:cs="Times New Roman"/>
          <w:sz w:val="24"/>
          <w:szCs w:val="24"/>
        </w:rPr>
        <w:t>sveučilišta</w:t>
      </w:r>
      <w:r w:rsidR="00523985" w:rsidRPr="00F7387A">
        <w:rPr>
          <w:rFonts w:ascii="Times New Roman" w:hAnsi="Times New Roman" w:cs="Times New Roman"/>
          <w:sz w:val="24"/>
          <w:szCs w:val="24"/>
        </w:rPr>
        <w:t xml:space="preserve"> koj</w:t>
      </w:r>
      <w:r w:rsidR="00E57F0A" w:rsidRPr="00F7387A">
        <w:rPr>
          <w:rFonts w:ascii="Times New Roman" w:hAnsi="Times New Roman" w:cs="Times New Roman"/>
          <w:sz w:val="24"/>
          <w:szCs w:val="24"/>
        </w:rPr>
        <w:t>a</w:t>
      </w:r>
      <w:r w:rsidR="00523985" w:rsidRPr="00F7387A">
        <w:rPr>
          <w:rFonts w:ascii="Times New Roman" w:hAnsi="Times New Roman" w:cs="Times New Roman"/>
          <w:sz w:val="24"/>
          <w:szCs w:val="24"/>
        </w:rPr>
        <w:t xml:space="preserve"> pohađaju doktorandi sudjelovati u troškovima. </w:t>
      </w:r>
    </w:p>
    <w:p w14:paraId="73B92564" w14:textId="24D127E5" w:rsidR="0074472B" w:rsidRDefault="003B44F1" w:rsidP="006375D9">
      <w:pPr>
        <w:jc w:val="both"/>
        <w:rPr>
          <w:rFonts w:ascii="Times New Roman" w:hAnsi="Times New Roman" w:cs="Times New Roman"/>
          <w:sz w:val="24"/>
          <w:szCs w:val="24"/>
        </w:rPr>
      </w:pPr>
      <w:r>
        <w:rPr>
          <w:rFonts w:ascii="Times New Roman" w:hAnsi="Times New Roman" w:cs="Times New Roman"/>
          <w:sz w:val="24"/>
          <w:szCs w:val="24"/>
        </w:rPr>
        <w:t>O</w:t>
      </w:r>
      <w:r w:rsidRPr="00F7387A">
        <w:rPr>
          <w:rFonts w:ascii="Times New Roman" w:hAnsi="Times New Roman" w:cs="Times New Roman"/>
          <w:sz w:val="24"/>
          <w:szCs w:val="24"/>
        </w:rPr>
        <w:t xml:space="preserve">stvarenje </w:t>
      </w:r>
      <w:r>
        <w:rPr>
          <w:rFonts w:ascii="Times New Roman" w:hAnsi="Times New Roman" w:cs="Times New Roman"/>
          <w:sz w:val="24"/>
          <w:szCs w:val="24"/>
        </w:rPr>
        <w:t>r</w:t>
      </w:r>
      <w:r w:rsidR="0092170C" w:rsidRPr="00F7387A">
        <w:rPr>
          <w:rFonts w:ascii="Times New Roman" w:hAnsi="Times New Roman" w:cs="Times New Roman"/>
          <w:sz w:val="24"/>
          <w:szCs w:val="24"/>
        </w:rPr>
        <w:t>ashod</w:t>
      </w:r>
      <w:r>
        <w:rPr>
          <w:rFonts w:ascii="Times New Roman" w:hAnsi="Times New Roman" w:cs="Times New Roman"/>
          <w:sz w:val="24"/>
          <w:szCs w:val="24"/>
        </w:rPr>
        <w:t>a</w:t>
      </w:r>
      <w:r w:rsidR="0092170C" w:rsidRPr="00F7387A">
        <w:rPr>
          <w:rFonts w:ascii="Times New Roman" w:hAnsi="Times New Roman" w:cs="Times New Roman"/>
          <w:sz w:val="24"/>
          <w:szCs w:val="24"/>
        </w:rPr>
        <w:t xml:space="preserve"> za nabavu nefinancijske imovine (konto 4) </w:t>
      </w:r>
      <w:r w:rsidR="002B3521" w:rsidRPr="00F7387A">
        <w:rPr>
          <w:rFonts w:ascii="Times New Roman" w:hAnsi="Times New Roman" w:cs="Times New Roman"/>
          <w:sz w:val="24"/>
          <w:szCs w:val="24"/>
        </w:rPr>
        <w:t>u 2025. godini je veće od planiranog</w:t>
      </w:r>
      <w:r w:rsidR="00523985" w:rsidRPr="00F7387A">
        <w:rPr>
          <w:rFonts w:ascii="Times New Roman" w:hAnsi="Times New Roman" w:cs="Times New Roman"/>
          <w:sz w:val="24"/>
          <w:szCs w:val="24"/>
        </w:rPr>
        <w:t>, ali su se rashodi ostvarili unutar raspoloživih sredstava.</w:t>
      </w:r>
      <w:r w:rsidR="002B3521" w:rsidRPr="00F7387A">
        <w:rPr>
          <w:rFonts w:ascii="Times New Roman" w:hAnsi="Times New Roman" w:cs="Times New Roman"/>
          <w:sz w:val="24"/>
          <w:szCs w:val="24"/>
        </w:rPr>
        <w:t xml:space="preserve"> O</w:t>
      </w:r>
      <w:r w:rsidR="0092170C" w:rsidRPr="00F7387A">
        <w:rPr>
          <w:rFonts w:ascii="Times New Roman" w:hAnsi="Times New Roman" w:cs="Times New Roman"/>
          <w:sz w:val="24"/>
          <w:szCs w:val="24"/>
        </w:rPr>
        <w:t xml:space="preserve">stvareni </w:t>
      </w:r>
      <w:r w:rsidR="002B3521" w:rsidRPr="00F7387A">
        <w:rPr>
          <w:rFonts w:ascii="Times New Roman" w:hAnsi="Times New Roman" w:cs="Times New Roman"/>
          <w:sz w:val="24"/>
          <w:szCs w:val="24"/>
        </w:rPr>
        <w:t xml:space="preserve">rashodi za nefinancijsku imovinu </w:t>
      </w:r>
      <w:r w:rsidR="0092170C" w:rsidRPr="00F7387A">
        <w:rPr>
          <w:rFonts w:ascii="Times New Roman" w:hAnsi="Times New Roman" w:cs="Times New Roman"/>
          <w:sz w:val="24"/>
          <w:szCs w:val="24"/>
        </w:rPr>
        <w:t>iznos</w:t>
      </w:r>
      <w:r w:rsidR="002B3521" w:rsidRPr="00F7387A">
        <w:rPr>
          <w:rFonts w:ascii="Times New Roman" w:hAnsi="Times New Roman" w:cs="Times New Roman"/>
          <w:sz w:val="24"/>
          <w:szCs w:val="24"/>
        </w:rPr>
        <w:t>e</w:t>
      </w:r>
      <w:r w:rsidR="0092170C" w:rsidRPr="00F7387A">
        <w:rPr>
          <w:rFonts w:ascii="Times New Roman" w:hAnsi="Times New Roman" w:cs="Times New Roman"/>
          <w:sz w:val="24"/>
          <w:szCs w:val="24"/>
        </w:rPr>
        <w:t xml:space="preserve"> 78.477,64 eura i za 16.221,64 eura</w:t>
      </w:r>
      <w:r w:rsidR="002B3521" w:rsidRPr="00F7387A">
        <w:rPr>
          <w:rFonts w:ascii="Times New Roman" w:hAnsi="Times New Roman" w:cs="Times New Roman"/>
          <w:sz w:val="24"/>
          <w:szCs w:val="24"/>
        </w:rPr>
        <w:t xml:space="preserve"> su veći od planiranog.</w:t>
      </w:r>
      <w:r w:rsidR="0092170C" w:rsidRPr="00F7387A">
        <w:rPr>
          <w:rFonts w:ascii="Times New Roman" w:hAnsi="Times New Roman" w:cs="Times New Roman"/>
          <w:sz w:val="24"/>
          <w:szCs w:val="24"/>
        </w:rPr>
        <w:t xml:space="preserve"> Na uvećanje ostvarenja </w:t>
      </w:r>
      <w:r w:rsidR="00560659">
        <w:rPr>
          <w:rFonts w:ascii="Times New Roman" w:hAnsi="Times New Roman" w:cs="Times New Roman"/>
          <w:sz w:val="24"/>
          <w:szCs w:val="24"/>
        </w:rPr>
        <w:t xml:space="preserve">najznačajnije </w:t>
      </w:r>
      <w:r w:rsidR="0092170C" w:rsidRPr="00F7387A">
        <w:rPr>
          <w:rFonts w:ascii="Times New Roman" w:hAnsi="Times New Roman" w:cs="Times New Roman"/>
          <w:sz w:val="24"/>
          <w:szCs w:val="24"/>
        </w:rPr>
        <w:t>je utjecala korekcija rashoda preko rezultata poslovanja povezana s rashodom za nabavu zamjenskih servera</w:t>
      </w:r>
      <w:r w:rsidR="008966A6">
        <w:rPr>
          <w:rFonts w:ascii="Times New Roman" w:hAnsi="Times New Roman" w:cs="Times New Roman"/>
          <w:sz w:val="24"/>
          <w:szCs w:val="24"/>
        </w:rPr>
        <w:t>.</w:t>
      </w:r>
      <w:r w:rsidR="0092170C" w:rsidRPr="00F7387A">
        <w:rPr>
          <w:rFonts w:ascii="Times New Roman" w:hAnsi="Times New Roman" w:cs="Times New Roman"/>
          <w:sz w:val="24"/>
          <w:szCs w:val="24"/>
        </w:rPr>
        <w:t xml:space="preserve"> </w:t>
      </w:r>
    </w:p>
    <w:p w14:paraId="50677019" w14:textId="77D7DEAE" w:rsidR="00560659" w:rsidRPr="0000104C" w:rsidRDefault="00560659" w:rsidP="006375D9">
      <w:pPr>
        <w:jc w:val="both"/>
        <w:rPr>
          <w:rFonts w:ascii="Times New Roman" w:hAnsi="Times New Roman" w:cs="Times New Roman"/>
          <w:sz w:val="24"/>
          <w:szCs w:val="24"/>
        </w:rPr>
      </w:pPr>
      <w:r w:rsidRPr="0000104C">
        <w:rPr>
          <w:rFonts w:ascii="Times New Roman" w:hAnsi="Times New Roman" w:cs="Times New Roman"/>
          <w:sz w:val="24"/>
          <w:szCs w:val="24"/>
        </w:rPr>
        <w:t>Proces nabave servera prove</w:t>
      </w:r>
      <w:r w:rsidR="00BF3C80" w:rsidRPr="0000104C">
        <w:rPr>
          <w:rFonts w:ascii="Times New Roman" w:hAnsi="Times New Roman" w:cs="Times New Roman"/>
          <w:sz w:val="24"/>
          <w:szCs w:val="24"/>
        </w:rPr>
        <w:t>den je</w:t>
      </w:r>
      <w:r w:rsidRPr="0000104C">
        <w:rPr>
          <w:rFonts w:ascii="Times New Roman" w:hAnsi="Times New Roman" w:cs="Times New Roman"/>
          <w:sz w:val="24"/>
          <w:szCs w:val="24"/>
        </w:rPr>
        <w:t xml:space="preserve"> u prosincu 2024. godine sukladno planiranim aktivnostima  Programskog ugovora 2024.-2027.  Programskim ugovorom 2024.-2027. planirano je da se </w:t>
      </w:r>
      <w:r w:rsidRPr="0000104C">
        <w:rPr>
          <w:rFonts w:ascii="Times New Roman" w:hAnsi="Times New Roman" w:cs="Times New Roman"/>
          <w:sz w:val="24"/>
          <w:szCs w:val="24"/>
        </w:rPr>
        <w:lastRenderedPageBreak/>
        <w:t xml:space="preserve">nabava refundira iz proračunskih sredstava (izvor 11). Serveri su plaćeni u iznosu od 22.800,00 eura iz vlastitih sredstava (izvor 31) u 2024. godini, a stavljeni su u funkciju u 2025. godini. Prema zahtjevu za refundacijom Ministarstvo znanosti, obrazovanja i mladih refundiralo je cjelokupan iznos u ožujku 2025. godine. </w:t>
      </w:r>
      <w:r w:rsidR="00BF3C80" w:rsidRPr="0000104C">
        <w:rPr>
          <w:rFonts w:ascii="Times New Roman" w:hAnsi="Times New Roman" w:cs="Times New Roman"/>
          <w:sz w:val="24"/>
          <w:szCs w:val="24"/>
        </w:rPr>
        <w:t xml:space="preserve">Kako je po novčanom tijeku rashod nastao u prethodnoj godini na izvoru 31, a refundacija sredstava se ostvarila u tekućoj godini na izvoru 11, bilo je potrebno </w:t>
      </w:r>
      <w:r w:rsidRPr="0000104C">
        <w:rPr>
          <w:rFonts w:ascii="Times New Roman" w:hAnsi="Times New Roman" w:cs="Times New Roman"/>
          <w:sz w:val="24"/>
          <w:szCs w:val="24"/>
        </w:rPr>
        <w:t>uskla</w:t>
      </w:r>
      <w:r w:rsidR="00BF3C80" w:rsidRPr="0000104C">
        <w:rPr>
          <w:rFonts w:ascii="Times New Roman" w:hAnsi="Times New Roman" w:cs="Times New Roman"/>
          <w:sz w:val="24"/>
          <w:szCs w:val="24"/>
        </w:rPr>
        <w:t>diti</w:t>
      </w:r>
      <w:r w:rsidRPr="0000104C">
        <w:rPr>
          <w:rFonts w:ascii="Times New Roman" w:hAnsi="Times New Roman" w:cs="Times New Roman"/>
          <w:sz w:val="24"/>
          <w:szCs w:val="24"/>
        </w:rPr>
        <w:t xml:space="preserve"> prihod</w:t>
      </w:r>
      <w:r w:rsidR="00BF3C80" w:rsidRPr="0000104C">
        <w:rPr>
          <w:rFonts w:ascii="Times New Roman" w:hAnsi="Times New Roman" w:cs="Times New Roman"/>
          <w:sz w:val="24"/>
          <w:szCs w:val="24"/>
        </w:rPr>
        <w:t>e</w:t>
      </w:r>
      <w:r w:rsidRPr="0000104C">
        <w:rPr>
          <w:rFonts w:ascii="Times New Roman" w:hAnsi="Times New Roman" w:cs="Times New Roman"/>
          <w:sz w:val="24"/>
          <w:szCs w:val="24"/>
        </w:rPr>
        <w:t xml:space="preserve"> i rashod</w:t>
      </w:r>
      <w:r w:rsidR="00BF3C80" w:rsidRPr="0000104C">
        <w:rPr>
          <w:rFonts w:ascii="Times New Roman" w:hAnsi="Times New Roman" w:cs="Times New Roman"/>
          <w:sz w:val="24"/>
          <w:szCs w:val="24"/>
        </w:rPr>
        <w:t>e</w:t>
      </w:r>
      <w:r w:rsidRPr="0000104C">
        <w:rPr>
          <w:rFonts w:ascii="Times New Roman" w:hAnsi="Times New Roman" w:cs="Times New Roman"/>
          <w:sz w:val="24"/>
          <w:szCs w:val="24"/>
        </w:rPr>
        <w:t xml:space="preserve"> </w:t>
      </w:r>
      <w:r w:rsidR="00BF3C80" w:rsidRPr="0000104C">
        <w:rPr>
          <w:rFonts w:ascii="Times New Roman" w:hAnsi="Times New Roman" w:cs="Times New Roman"/>
          <w:sz w:val="24"/>
          <w:szCs w:val="24"/>
        </w:rPr>
        <w:t>po izvorima</w:t>
      </w:r>
      <w:r w:rsidR="0000104C" w:rsidRPr="0000104C">
        <w:rPr>
          <w:rFonts w:ascii="Times New Roman" w:hAnsi="Times New Roman" w:cs="Times New Roman"/>
          <w:sz w:val="24"/>
          <w:szCs w:val="24"/>
        </w:rPr>
        <w:t xml:space="preserve"> te </w:t>
      </w:r>
      <w:r w:rsidR="00BF3C80" w:rsidRPr="0000104C">
        <w:rPr>
          <w:rFonts w:ascii="Times New Roman" w:hAnsi="Times New Roman" w:cs="Times New Roman"/>
          <w:sz w:val="24"/>
          <w:szCs w:val="24"/>
        </w:rPr>
        <w:t xml:space="preserve">preko rezultata poslovanja uravnotežiti </w:t>
      </w:r>
      <w:r w:rsidRPr="0000104C">
        <w:rPr>
          <w:rFonts w:ascii="Times New Roman" w:hAnsi="Times New Roman" w:cs="Times New Roman"/>
          <w:sz w:val="24"/>
          <w:szCs w:val="24"/>
        </w:rPr>
        <w:t>prihod</w:t>
      </w:r>
      <w:r w:rsidR="0000104C" w:rsidRPr="0000104C">
        <w:rPr>
          <w:rFonts w:ascii="Times New Roman" w:hAnsi="Times New Roman" w:cs="Times New Roman"/>
          <w:sz w:val="24"/>
          <w:szCs w:val="24"/>
        </w:rPr>
        <w:t>e</w:t>
      </w:r>
      <w:r w:rsidRPr="0000104C">
        <w:rPr>
          <w:rFonts w:ascii="Times New Roman" w:hAnsi="Times New Roman" w:cs="Times New Roman"/>
          <w:sz w:val="24"/>
          <w:szCs w:val="24"/>
        </w:rPr>
        <w:t xml:space="preserve"> </w:t>
      </w:r>
      <w:r w:rsidR="00BF3C80" w:rsidRPr="0000104C">
        <w:rPr>
          <w:rFonts w:ascii="Times New Roman" w:hAnsi="Times New Roman" w:cs="Times New Roman"/>
          <w:sz w:val="24"/>
          <w:szCs w:val="24"/>
        </w:rPr>
        <w:t>i rashod</w:t>
      </w:r>
      <w:r w:rsidR="0000104C" w:rsidRPr="0000104C">
        <w:rPr>
          <w:rFonts w:ascii="Times New Roman" w:hAnsi="Times New Roman" w:cs="Times New Roman"/>
          <w:sz w:val="24"/>
          <w:szCs w:val="24"/>
        </w:rPr>
        <w:t>e</w:t>
      </w:r>
      <w:r w:rsidR="00BF3C80" w:rsidRPr="0000104C">
        <w:rPr>
          <w:rFonts w:ascii="Times New Roman" w:hAnsi="Times New Roman" w:cs="Times New Roman"/>
          <w:sz w:val="24"/>
          <w:szCs w:val="24"/>
        </w:rPr>
        <w:t xml:space="preserve"> </w:t>
      </w:r>
      <w:r w:rsidRPr="0000104C">
        <w:rPr>
          <w:rFonts w:ascii="Times New Roman" w:hAnsi="Times New Roman" w:cs="Times New Roman"/>
          <w:sz w:val="24"/>
          <w:szCs w:val="24"/>
        </w:rPr>
        <w:t xml:space="preserve">iz proračuna </w:t>
      </w:r>
      <w:r w:rsidR="00BF3C80" w:rsidRPr="0000104C">
        <w:rPr>
          <w:rFonts w:ascii="Times New Roman" w:hAnsi="Times New Roman" w:cs="Times New Roman"/>
          <w:sz w:val="24"/>
          <w:szCs w:val="24"/>
        </w:rPr>
        <w:t xml:space="preserve">i </w:t>
      </w:r>
      <w:r w:rsidR="0000104C" w:rsidRPr="0000104C">
        <w:rPr>
          <w:rFonts w:ascii="Times New Roman" w:hAnsi="Times New Roman" w:cs="Times New Roman"/>
          <w:sz w:val="24"/>
          <w:szCs w:val="24"/>
        </w:rPr>
        <w:t xml:space="preserve">tako </w:t>
      </w:r>
      <w:r w:rsidR="00BF3C80" w:rsidRPr="0000104C">
        <w:rPr>
          <w:rFonts w:ascii="Times New Roman" w:hAnsi="Times New Roman" w:cs="Times New Roman"/>
          <w:sz w:val="24"/>
          <w:szCs w:val="24"/>
        </w:rPr>
        <w:t>uskladiti s evidencijama u državnom proračunu. Navedeno usklađenje</w:t>
      </w:r>
      <w:r w:rsidRPr="0000104C">
        <w:rPr>
          <w:rFonts w:ascii="Times New Roman" w:hAnsi="Times New Roman" w:cs="Times New Roman"/>
          <w:sz w:val="24"/>
          <w:szCs w:val="24"/>
        </w:rPr>
        <w:t xml:space="preserve"> je uvećalo rashode izvještajnog razdoblja u 2025. godini</w:t>
      </w:r>
      <w:r w:rsidR="00BF3C80" w:rsidRPr="0000104C">
        <w:rPr>
          <w:rFonts w:ascii="Times New Roman" w:hAnsi="Times New Roman" w:cs="Times New Roman"/>
          <w:sz w:val="24"/>
          <w:szCs w:val="24"/>
        </w:rPr>
        <w:t>.</w:t>
      </w:r>
    </w:p>
    <w:p w14:paraId="329DBC23" w14:textId="7AE4C92D" w:rsidR="0092170C" w:rsidRPr="00F7387A" w:rsidRDefault="00ED7FBE" w:rsidP="006375D9">
      <w:pPr>
        <w:jc w:val="both"/>
        <w:rPr>
          <w:rFonts w:ascii="Times New Roman" w:hAnsi="Times New Roman" w:cs="Times New Roman"/>
          <w:sz w:val="24"/>
          <w:szCs w:val="24"/>
        </w:rPr>
      </w:pPr>
      <w:r w:rsidRPr="00F7387A">
        <w:rPr>
          <w:rFonts w:ascii="Times New Roman" w:hAnsi="Times New Roman" w:cs="Times New Roman"/>
          <w:sz w:val="24"/>
          <w:szCs w:val="24"/>
        </w:rPr>
        <w:t xml:space="preserve">Dodatna ulaganja na postrojenjima i opremi </w:t>
      </w:r>
      <w:r w:rsidR="002B3521" w:rsidRPr="00F7387A">
        <w:rPr>
          <w:rFonts w:ascii="Times New Roman" w:hAnsi="Times New Roman" w:cs="Times New Roman"/>
          <w:sz w:val="24"/>
          <w:szCs w:val="24"/>
        </w:rPr>
        <w:t xml:space="preserve">(konto 45) </w:t>
      </w:r>
      <w:r w:rsidRPr="00F7387A">
        <w:rPr>
          <w:rFonts w:ascii="Times New Roman" w:hAnsi="Times New Roman" w:cs="Times New Roman"/>
          <w:sz w:val="24"/>
          <w:szCs w:val="24"/>
        </w:rPr>
        <w:t xml:space="preserve">su se ostvarila u većem iznosu od planiranog zbog toga što smo propustili </w:t>
      </w:r>
      <w:r w:rsidR="00205714" w:rsidRPr="00F7387A">
        <w:rPr>
          <w:rFonts w:ascii="Times New Roman" w:hAnsi="Times New Roman" w:cs="Times New Roman"/>
          <w:sz w:val="24"/>
          <w:szCs w:val="24"/>
        </w:rPr>
        <w:t xml:space="preserve">u kolovozu 2025. godine </w:t>
      </w:r>
      <w:r w:rsidRPr="00F7387A">
        <w:rPr>
          <w:rFonts w:ascii="Times New Roman" w:hAnsi="Times New Roman" w:cs="Times New Roman"/>
          <w:sz w:val="24"/>
          <w:szCs w:val="24"/>
        </w:rPr>
        <w:t xml:space="preserve">prilikom rebalansa plana za 2025. godinu </w:t>
      </w:r>
      <w:r w:rsidR="002B3521" w:rsidRPr="00F7387A">
        <w:rPr>
          <w:rFonts w:ascii="Times New Roman" w:hAnsi="Times New Roman" w:cs="Times New Roman"/>
          <w:sz w:val="24"/>
          <w:szCs w:val="24"/>
        </w:rPr>
        <w:t>uvećati planirani iznos</w:t>
      </w:r>
      <w:r w:rsidR="00205714" w:rsidRPr="00F7387A">
        <w:rPr>
          <w:rFonts w:ascii="Times New Roman" w:hAnsi="Times New Roman" w:cs="Times New Roman"/>
          <w:sz w:val="24"/>
          <w:szCs w:val="24"/>
        </w:rPr>
        <w:t>.</w:t>
      </w:r>
      <w:r w:rsidR="002B3521" w:rsidRPr="00F7387A">
        <w:rPr>
          <w:rFonts w:ascii="Times New Roman" w:hAnsi="Times New Roman" w:cs="Times New Roman"/>
          <w:sz w:val="24"/>
          <w:szCs w:val="24"/>
        </w:rPr>
        <w:t xml:space="preserve"> </w:t>
      </w:r>
      <w:r w:rsidR="00AA7E97" w:rsidRPr="00F7387A">
        <w:rPr>
          <w:rFonts w:ascii="Times New Roman" w:hAnsi="Times New Roman" w:cs="Times New Roman"/>
          <w:sz w:val="24"/>
          <w:szCs w:val="24"/>
        </w:rPr>
        <w:t xml:space="preserve">U Planu nabave za 2025. godinu </w:t>
      </w:r>
      <w:r w:rsidR="00205714" w:rsidRPr="00F7387A">
        <w:rPr>
          <w:rFonts w:ascii="Times New Roman" w:hAnsi="Times New Roman" w:cs="Times New Roman"/>
          <w:sz w:val="24"/>
          <w:szCs w:val="24"/>
        </w:rPr>
        <w:t>(</w:t>
      </w:r>
      <w:r w:rsidR="0000104C">
        <w:rPr>
          <w:rFonts w:ascii="Times New Roman" w:hAnsi="Times New Roman" w:cs="Times New Roman"/>
          <w:sz w:val="24"/>
          <w:szCs w:val="24"/>
        </w:rPr>
        <w:t>Ev</w:t>
      </w:r>
      <w:r w:rsidR="00205714" w:rsidRPr="00F7387A">
        <w:rPr>
          <w:rFonts w:ascii="Times New Roman" w:hAnsi="Times New Roman" w:cs="Times New Roman"/>
          <w:sz w:val="24"/>
          <w:szCs w:val="24"/>
        </w:rPr>
        <w:t>.</w:t>
      </w:r>
      <w:r w:rsidR="0000104C">
        <w:rPr>
          <w:rFonts w:ascii="Times New Roman" w:hAnsi="Times New Roman" w:cs="Times New Roman"/>
          <w:sz w:val="24"/>
          <w:szCs w:val="24"/>
        </w:rPr>
        <w:t>br</w:t>
      </w:r>
      <w:r w:rsidR="00205714" w:rsidRPr="00F7387A">
        <w:rPr>
          <w:rFonts w:ascii="Times New Roman" w:hAnsi="Times New Roman" w:cs="Times New Roman"/>
          <w:sz w:val="24"/>
          <w:szCs w:val="24"/>
        </w:rPr>
        <w:t>. 3 i 4) planiran</w:t>
      </w:r>
      <w:r w:rsidR="00523985" w:rsidRPr="00F7387A">
        <w:rPr>
          <w:rFonts w:ascii="Times New Roman" w:hAnsi="Times New Roman" w:cs="Times New Roman"/>
          <w:sz w:val="24"/>
          <w:szCs w:val="24"/>
        </w:rPr>
        <w:t>o je ulaganje u kotlovnicu zgrade Ekonomskog instituta, Zagreb.</w:t>
      </w:r>
      <w:r w:rsidR="00205714" w:rsidRPr="00F7387A">
        <w:rPr>
          <w:rFonts w:ascii="Times New Roman" w:hAnsi="Times New Roman" w:cs="Times New Roman"/>
          <w:sz w:val="24"/>
          <w:szCs w:val="24"/>
        </w:rPr>
        <w:t xml:space="preserve"> Nabava je ostvarena u zadnjem kvartalu 2025. godine, a financirana </w:t>
      </w:r>
      <w:r w:rsidR="0000104C">
        <w:rPr>
          <w:rFonts w:ascii="Times New Roman" w:hAnsi="Times New Roman" w:cs="Times New Roman"/>
          <w:sz w:val="24"/>
          <w:szCs w:val="24"/>
        </w:rPr>
        <w:t xml:space="preserve">je </w:t>
      </w:r>
      <w:r w:rsidR="00205714" w:rsidRPr="00F7387A">
        <w:rPr>
          <w:rFonts w:ascii="Times New Roman" w:hAnsi="Times New Roman" w:cs="Times New Roman"/>
          <w:sz w:val="24"/>
          <w:szCs w:val="24"/>
        </w:rPr>
        <w:t>iz osiguranih i raspoloživih vlastitih izvora financiranja.</w:t>
      </w:r>
    </w:p>
    <w:p w14:paraId="3AA20B74" w14:textId="4C662BDF" w:rsidR="001324F9" w:rsidRDefault="001324F9" w:rsidP="006375D9">
      <w:pPr>
        <w:jc w:val="both"/>
        <w:rPr>
          <w:rFonts w:ascii="Times New Roman" w:hAnsi="Times New Roman" w:cs="Times New Roman"/>
          <w:sz w:val="24"/>
          <w:szCs w:val="24"/>
        </w:rPr>
      </w:pPr>
    </w:p>
    <w:p w14:paraId="5A29CA5C" w14:textId="77777777" w:rsidR="00D560E3" w:rsidRPr="00F7387A" w:rsidRDefault="00D560E3" w:rsidP="006375D9">
      <w:pPr>
        <w:jc w:val="both"/>
        <w:rPr>
          <w:rFonts w:ascii="Times New Roman" w:hAnsi="Times New Roman" w:cs="Times New Roman"/>
          <w:sz w:val="24"/>
          <w:szCs w:val="24"/>
        </w:rPr>
      </w:pPr>
    </w:p>
    <w:p w14:paraId="720D1266" w14:textId="72808572" w:rsidR="00BA67A5" w:rsidRPr="00F7387A" w:rsidRDefault="00DB1586" w:rsidP="006375D9">
      <w:pPr>
        <w:jc w:val="both"/>
        <w:rPr>
          <w:rFonts w:ascii="Times New Roman" w:hAnsi="Times New Roman" w:cs="Times New Roman"/>
          <w:sz w:val="24"/>
          <w:szCs w:val="24"/>
        </w:rPr>
      </w:pPr>
      <w:r w:rsidRPr="00F7387A">
        <w:rPr>
          <w:rFonts w:ascii="Times New Roman" w:hAnsi="Times New Roman" w:cs="Times New Roman"/>
          <w:sz w:val="24"/>
          <w:szCs w:val="24"/>
        </w:rPr>
        <w:t xml:space="preserve">A.2. </w:t>
      </w:r>
      <w:r w:rsidR="00BA67A5" w:rsidRPr="00F7387A">
        <w:rPr>
          <w:rFonts w:ascii="Times New Roman" w:hAnsi="Times New Roman" w:cs="Times New Roman"/>
          <w:sz w:val="24"/>
          <w:szCs w:val="24"/>
        </w:rPr>
        <w:t xml:space="preserve">IZVJEŠTAJ O PRIHODIMA I RASHODIMA PREMA IZVORIMA FINANCIRANJA </w:t>
      </w:r>
    </w:p>
    <w:p w14:paraId="2E9BE2E3" w14:textId="64E3C415" w:rsidR="00E3011D" w:rsidRPr="00F7387A" w:rsidRDefault="00E3011D" w:rsidP="006375D9">
      <w:pPr>
        <w:jc w:val="both"/>
        <w:rPr>
          <w:rFonts w:ascii="Times New Roman" w:hAnsi="Times New Roman" w:cs="Times New Roman"/>
          <w:sz w:val="24"/>
          <w:szCs w:val="24"/>
        </w:rPr>
      </w:pPr>
      <w:r w:rsidRPr="00F7387A">
        <w:rPr>
          <w:rFonts w:ascii="Times New Roman" w:hAnsi="Times New Roman" w:cs="Times New Roman"/>
          <w:sz w:val="24"/>
          <w:szCs w:val="24"/>
        </w:rPr>
        <w:t xml:space="preserve">Izvještaj o prihodima i rashodima prema izvoru financiranja </w:t>
      </w:r>
      <w:r w:rsidR="0066624A" w:rsidRPr="00F7387A">
        <w:rPr>
          <w:rFonts w:ascii="Times New Roman" w:hAnsi="Times New Roman" w:cs="Times New Roman"/>
          <w:sz w:val="24"/>
          <w:szCs w:val="24"/>
        </w:rPr>
        <w:t xml:space="preserve">(tabela A.2) </w:t>
      </w:r>
      <w:r w:rsidRPr="00F7387A">
        <w:rPr>
          <w:rFonts w:ascii="Times New Roman" w:hAnsi="Times New Roman" w:cs="Times New Roman"/>
          <w:sz w:val="24"/>
          <w:szCs w:val="24"/>
        </w:rPr>
        <w:t>prikazuje sažetu sliku izvršenja plana po izvorima:</w:t>
      </w:r>
    </w:p>
    <w:p w14:paraId="193BDF32" w14:textId="41E087BB" w:rsidR="00E3011D" w:rsidRPr="00F7387A" w:rsidRDefault="00E3011D" w:rsidP="00A852EC">
      <w:pPr>
        <w:pStyle w:val="ListParagraph"/>
        <w:numPr>
          <w:ilvl w:val="0"/>
          <w:numId w:val="9"/>
        </w:numPr>
        <w:jc w:val="both"/>
        <w:rPr>
          <w:rFonts w:ascii="Times New Roman" w:hAnsi="Times New Roman" w:cs="Times New Roman"/>
          <w:sz w:val="24"/>
          <w:szCs w:val="24"/>
        </w:rPr>
      </w:pPr>
      <w:r w:rsidRPr="00F7387A">
        <w:rPr>
          <w:rFonts w:ascii="Times New Roman" w:hAnsi="Times New Roman" w:cs="Times New Roman"/>
          <w:sz w:val="24"/>
          <w:szCs w:val="24"/>
        </w:rPr>
        <w:t xml:space="preserve">Izvor </w:t>
      </w:r>
      <w:r w:rsidRPr="00F7387A">
        <w:rPr>
          <w:rFonts w:ascii="Times New Roman" w:hAnsi="Times New Roman" w:cs="Times New Roman"/>
          <w:i/>
          <w:iCs/>
          <w:sz w:val="24"/>
          <w:szCs w:val="24"/>
        </w:rPr>
        <w:t>11 Opći prihodi i primici</w:t>
      </w:r>
      <w:r w:rsidRPr="00F7387A">
        <w:rPr>
          <w:rFonts w:ascii="Times New Roman" w:hAnsi="Times New Roman" w:cs="Times New Roman"/>
          <w:sz w:val="24"/>
          <w:szCs w:val="24"/>
        </w:rPr>
        <w:t xml:space="preserve"> se odnosi na prihode i rashode ugovorene </w:t>
      </w:r>
      <w:bookmarkStart w:id="1" w:name="_Hlk193286125"/>
      <w:r w:rsidRPr="00F7387A">
        <w:rPr>
          <w:rFonts w:ascii="Times New Roman" w:hAnsi="Times New Roman" w:cs="Times New Roman"/>
          <w:sz w:val="24"/>
          <w:szCs w:val="24"/>
        </w:rPr>
        <w:t>Programskim ugovorom za razdoblje 2024.-2027. godine</w:t>
      </w:r>
      <w:r w:rsidR="00AE1F35" w:rsidRPr="00F7387A">
        <w:rPr>
          <w:rFonts w:ascii="Times New Roman" w:hAnsi="Times New Roman" w:cs="Times New Roman"/>
          <w:sz w:val="24"/>
          <w:szCs w:val="24"/>
        </w:rPr>
        <w:t xml:space="preserve"> </w:t>
      </w:r>
      <w:bookmarkEnd w:id="1"/>
      <w:r w:rsidR="00AE1F35" w:rsidRPr="00F7387A">
        <w:rPr>
          <w:rFonts w:ascii="Times New Roman" w:hAnsi="Times New Roman" w:cs="Times New Roman"/>
          <w:sz w:val="24"/>
          <w:szCs w:val="24"/>
        </w:rPr>
        <w:t>– osnovna proračunska komponenta.</w:t>
      </w:r>
      <w:r w:rsidR="006C15D3" w:rsidRPr="00F7387A">
        <w:rPr>
          <w:rFonts w:ascii="Times New Roman" w:hAnsi="Times New Roman" w:cs="Times New Roman"/>
          <w:sz w:val="24"/>
          <w:szCs w:val="24"/>
        </w:rPr>
        <w:t xml:space="preserve"> </w:t>
      </w:r>
    </w:p>
    <w:p w14:paraId="3CA8243B" w14:textId="1CF90B43" w:rsidR="00AE1F35" w:rsidRPr="00F7387A" w:rsidRDefault="00AE1F35" w:rsidP="00A852EC">
      <w:pPr>
        <w:pStyle w:val="ListParagraph"/>
        <w:numPr>
          <w:ilvl w:val="0"/>
          <w:numId w:val="9"/>
        </w:numPr>
        <w:jc w:val="both"/>
        <w:rPr>
          <w:rFonts w:ascii="Times New Roman" w:hAnsi="Times New Roman" w:cs="Times New Roman"/>
          <w:sz w:val="24"/>
          <w:szCs w:val="24"/>
        </w:rPr>
      </w:pPr>
      <w:r w:rsidRPr="00F7387A">
        <w:rPr>
          <w:rFonts w:ascii="Times New Roman" w:hAnsi="Times New Roman" w:cs="Times New Roman"/>
          <w:sz w:val="24"/>
          <w:szCs w:val="24"/>
        </w:rPr>
        <w:t xml:space="preserve">Izvor </w:t>
      </w:r>
      <w:r w:rsidRPr="00F7387A">
        <w:rPr>
          <w:rFonts w:ascii="Times New Roman" w:hAnsi="Times New Roman" w:cs="Times New Roman"/>
          <w:i/>
          <w:iCs/>
          <w:sz w:val="24"/>
          <w:szCs w:val="24"/>
        </w:rPr>
        <w:t>31 Vlastiti prihodi</w:t>
      </w:r>
      <w:r w:rsidRPr="00F7387A">
        <w:rPr>
          <w:rFonts w:ascii="Times New Roman" w:hAnsi="Times New Roman" w:cs="Times New Roman"/>
          <w:sz w:val="24"/>
          <w:szCs w:val="24"/>
        </w:rPr>
        <w:t xml:space="preserve"> se odnos</w:t>
      </w:r>
      <w:r w:rsidR="00A852EC">
        <w:rPr>
          <w:rFonts w:ascii="Times New Roman" w:hAnsi="Times New Roman" w:cs="Times New Roman"/>
          <w:sz w:val="24"/>
          <w:szCs w:val="24"/>
        </w:rPr>
        <w:t>i</w:t>
      </w:r>
      <w:r w:rsidRPr="00F7387A">
        <w:rPr>
          <w:rFonts w:ascii="Times New Roman" w:hAnsi="Times New Roman" w:cs="Times New Roman"/>
          <w:sz w:val="24"/>
          <w:szCs w:val="24"/>
        </w:rPr>
        <w:t xml:space="preserve"> na prihode </w:t>
      </w:r>
      <w:r w:rsidR="003A7226" w:rsidRPr="00F7387A">
        <w:rPr>
          <w:rFonts w:ascii="Times New Roman" w:hAnsi="Times New Roman" w:cs="Times New Roman"/>
          <w:sz w:val="24"/>
          <w:szCs w:val="24"/>
        </w:rPr>
        <w:t xml:space="preserve">i rashode </w:t>
      </w:r>
      <w:r w:rsidRPr="00F7387A">
        <w:rPr>
          <w:rFonts w:ascii="Times New Roman" w:hAnsi="Times New Roman" w:cs="Times New Roman"/>
          <w:sz w:val="24"/>
          <w:szCs w:val="24"/>
        </w:rPr>
        <w:t xml:space="preserve">ostvarene od projekata s tržišta, prihoda od najma dijela zgrade Instituta i prihoda od dividendi. </w:t>
      </w:r>
    </w:p>
    <w:p w14:paraId="098DCD22" w14:textId="39600015" w:rsidR="003A7226" w:rsidRDefault="00AE1F35" w:rsidP="00A852EC">
      <w:pPr>
        <w:pStyle w:val="ListParagraph"/>
        <w:numPr>
          <w:ilvl w:val="0"/>
          <w:numId w:val="9"/>
        </w:numPr>
        <w:jc w:val="both"/>
        <w:rPr>
          <w:rFonts w:ascii="Times New Roman" w:hAnsi="Times New Roman" w:cs="Times New Roman"/>
          <w:sz w:val="24"/>
          <w:szCs w:val="24"/>
        </w:rPr>
      </w:pPr>
      <w:r w:rsidRPr="00F7387A">
        <w:rPr>
          <w:rFonts w:ascii="Times New Roman" w:hAnsi="Times New Roman" w:cs="Times New Roman"/>
          <w:sz w:val="24"/>
          <w:szCs w:val="24"/>
        </w:rPr>
        <w:t xml:space="preserve">Izvor </w:t>
      </w:r>
      <w:r w:rsidRPr="00F7387A">
        <w:rPr>
          <w:rFonts w:ascii="Times New Roman" w:hAnsi="Times New Roman" w:cs="Times New Roman"/>
          <w:i/>
          <w:iCs/>
          <w:sz w:val="24"/>
          <w:szCs w:val="24"/>
        </w:rPr>
        <w:t>51 Pomoći EU</w:t>
      </w:r>
      <w:r w:rsidRPr="00F7387A">
        <w:rPr>
          <w:rFonts w:ascii="Times New Roman" w:hAnsi="Times New Roman" w:cs="Times New Roman"/>
          <w:sz w:val="24"/>
          <w:szCs w:val="24"/>
        </w:rPr>
        <w:t xml:space="preserve"> </w:t>
      </w:r>
      <w:r w:rsidR="00405212" w:rsidRPr="00F7387A">
        <w:rPr>
          <w:rFonts w:ascii="Times New Roman" w:hAnsi="Times New Roman" w:cs="Times New Roman"/>
          <w:sz w:val="24"/>
          <w:szCs w:val="24"/>
        </w:rPr>
        <w:t xml:space="preserve">odnosi se na prihode </w:t>
      </w:r>
      <w:r w:rsidR="003A7226" w:rsidRPr="00F7387A">
        <w:rPr>
          <w:rFonts w:ascii="Times New Roman" w:hAnsi="Times New Roman" w:cs="Times New Roman"/>
          <w:sz w:val="24"/>
          <w:szCs w:val="24"/>
        </w:rPr>
        <w:t xml:space="preserve">i rashode </w:t>
      </w:r>
      <w:r w:rsidR="00405212" w:rsidRPr="00F7387A">
        <w:rPr>
          <w:rFonts w:ascii="Times New Roman" w:hAnsi="Times New Roman" w:cs="Times New Roman"/>
          <w:sz w:val="24"/>
          <w:szCs w:val="24"/>
        </w:rPr>
        <w:t>EU projekata</w:t>
      </w:r>
      <w:r w:rsidR="002D4AEF" w:rsidRPr="00F7387A">
        <w:rPr>
          <w:rFonts w:ascii="Times New Roman" w:hAnsi="Times New Roman" w:cs="Times New Roman"/>
          <w:sz w:val="24"/>
          <w:szCs w:val="24"/>
        </w:rPr>
        <w:t>.</w:t>
      </w:r>
      <w:r w:rsidR="003A7226" w:rsidRPr="00F7387A">
        <w:t xml:space="preserve"> </w:t>
      </w:r>
      <w:r w:rsidR="003A7226" w:rsidRPr="00F7387A">
        <w:rPr>
          <w:rFonts w:ascii="Times New Roman" w:hAnsi="Times New Roman" w:cs="Times New Roman"/>
          <w:sz w:val="24"/>
          <w:szCs w:val="24"/>
        </w:rPr>
        <w:t>U 2025. godini nismo ostvarili takve prihode, a rashodi se ostvaruju iz prenesenih sredstava ove vrste izvora financiranja koji su bili namijenjeni podmirenju indirektnih troškova.</w:t>
      </w:r>
    </w:p>
    <w:p w14:paraId="27A2DC41" w14:textId="3195CAF2" w:rsidR="00A846C3" w:rsidRPr="00F7387A" w:rsidRDefault="00A846C3" w:rsidP="00A852EC">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Izvor </w:t>
      </w:r>
      <w:r w:rsidRPr="00A852EC">
        <w:rPr>
          <w:rFonts w:ascii="Times New Roman" w:hAnsi="Times New Roman" w:cs="Times New Roman"/>
          <w:i/>
          <w:iCs/>
          <w:sz w:val="24"/>
          <w:szCs w:val="24"/>
        </w:rPr>
        <w:t>52 Ostale pomoći</w:t>
      </w:r>
      <w:r>
        <w:rPr>
          <w:rFonts w:ascii="Times New Roman" w:hAnsi="Times New Roman" w:cs="Times New Roman"/>
          <w:sz w:val="24"/>
          <w:szCs w:val="24"/>
        </w:rPr>
        <w:t xml:space="preserve"> odnosi se na </w:t>
      </w:r>
      <w:r w:rsidR="00A852EC">
        <w:rPr>
          <w:rFonts w:ascii="Times New Roman" w:hAnsi="Times New Roman" w:cs="Times New Roman"/>
          <w:sz w:val="24"/>
          <w:szCs w:val="24"/>
        </w:rPr>
        <w:t>prijenose namjenskih sredstava između proračunskih korisnika istog proračuna. U 2025. godini smo ugovorili višegodišnji projekt s Hrvatskom zakladom za znanost te ostvarili prihod iz programa</w:t>
      </w:r>
      <w:r w:rsidR="00A852EC" w:rsidRPr="00A852EC">
        <w:t xml:space="preserve"> </w:t>
      </w:r>
      <w:r w:rsidR="00A852EC">
        <w:t>M</w:t>
      </w:r>
      <w:r w:rsidR="00A852EC" w:rsidRPr="00A852EC">
        <w:rPr>
          <w:rFonts w:ascii="Times New Roman" w:hAnsi="Times New Roman" w:cs="Times New Roman"/>
          <w:sz w:val="24"/>
          <w:szCs w:val="24"/>
        </w:rPr>
        <w:t>eđunarodna suradnja</w:t>
      </w:r>
      <w:r w:rsidR="00A852EC">
        <w:rPr>
          <w:rFonts w:ascii="Times New Roman" w:hAnsi="Times New Roman" w:cs="Times New Roman"/>
          <w:sz w:val="24"/>
          <w:szCs w:val="24"/>
        </w:rPr>
        <w:t xml:space="preserve"> </w:t>
      </w:r>
      <w:r w:rsidR="00A852EC" w:rsidRPr="00A852EC">
        <w:rPr>
          <w:rFonts w:ascii="Times New Roman" w:hAnsi="Times New Roman" w:cs="Times New Roman"/>
          <w:sz w:val="24"/>
          <w:szCs w:val="24"/>
        </w:rPr>
        <w:t>Ministarstv</w:t>
      </w:r>
      <w:r w:rsidR="00A852EC">
        <w:rPr>
          <w:rFonts w:ascii="Times New Roman" w:hAnsi="Times New Roman" w:cs="Times New Roman"/>
          <w:sz w:val="24"/>
          <w:szCs w:val="24"/>
        </w:rPr>
        <w:t>a</w:t>
      </w:r>
      <w:r w:rsidR="00A852EC" w:rsidRPr="00A852EC">
        <w:rPr>
          <w:rFonts w:ascii="Times New Roman" w:hAnsi="Times New Roman" w:cs="Times New Roman"/>
          <w:sz w:val="24"/>
          <w:szCs w:val="24"/>
        </w:rPr>
        <w:t xml:space="preserve"> znanosti, obrazovanja i mladih</w:t>
      </w:r>
      <w:r w:rsidR="00A852EC">
        <w:rPr>
          <w:rFonts w:ascii="Times New Roman" w:hAnsi="Times New Roman" w:cs="Times New Roman"/>
          <w:sz w:val="24"/>
          <w:szCs w:val="24"/>
        </w:rPr>
        <w:t>.</w:t>
      </w:r>
    </w:p>
    <w:p w14:paraId="6B01BF7F" w14:textId="2863FEB7" w:rsidR="002D4AEF" w:rsidRPr="00F7387A" w:rsidRDefault="00405212" w:rsidP="00A852EC">
      <w:pPr>
        <w:pStyle w:val="ListParagraph"/>
        <w:numPr>
          <w:ilvl w:val="0"/>
          <w:numId w:val="9"/>
        </w:numPr>
        <w:jc w:val="both"/>
        <w:rPr>
          <w:rFonts w:ascii="Times New Roman" w:hAnsi="Times New Roman" w:cs="Times New Roman"/>
          <w:sz w:val="24"/>
          <w:szCs w:val="24"/>
        </w:rPr>
      </w:pPr>
      <w:r w:rsidRPr="00F7387A">
        <w:rPr>
          <w:rFonts w:ascii="Times New Roman" w:hAnsi="Times New Roman" w:cs="Times New Roman"/>
          <w:sz w:val="24"/>
          <w:szCs w:val="24"/>
        </w:rPr>
        <w:t xml:space="preserve">Izvor </w:t>
      </w:r>
      <w:r w:rsidRPr="00F7387A">
        <w:rPr>
          <w:rFonts w:ascii="Times New Roman" w:hAnsi="Times New Roman" w:cs="Times New Roman"/>
          <w:i/>
          <w:iCs/>
          <w:sz w:val="24"/>
          <w:szCs w:val="24"/>
        </w:rPr>
        <w:t>58 Instrumenti EU nove generacije</w:t>
      </w:r>
      <w:r w:rsidRPr="00F7387A">
        <w:rPr>
          <w:rFonts w:ascii="Times New Roman" w:hAnsi="Times New Roman" w:cs="Times New Roman"/>
          <w:sz w:val="24"/>
          <w:szCs w:val="24"/>
        </w:rPr>
        <w:t xml:space="preserve"> odnos</w:t>
      </w:r>
      <w:r w:rsidR="00A852EC">
        <w:rPr>
          <w:rFonts w:ascii="Times New Roman" w:hAnsi="Times New Roman" w:cs="Times New Roman"/>
          <w:sz w:val="24"/>
          <w:szCs w:val="24"/>
        </w:rPr>
        <w:t>i</w:t>
      </w:r>
      <w:r w:rsidRPr="00F7387A">
        <w:rPr>
          <w:rFonts w:ascii="Times New Roman" w:hAnsi="Times New Roman" w:cs="Times New Roman"/>
          <w:sz w:val="24"/>
          <w:szCs w:val="24"/>
        </w:rPr>
        <w:t xml:space="preserve"> se na prihode </w:t>
      </w:r>
      <w:r w:rsidR="003A7226" w:rsidRPr="00F7387A">
        <w:rPr>
          <w:rFonts w:ascii="Times New Roman" w:hAnsi="Times New Roman" w:cs="Times New Roman"/>
          <w:sz w:val="24"/>
          <w:szCs w:val="24"/>
        </w:rPr>
        <w:t xml:space="preserve">i rashode </w:t>
      </w:r>
      <w:r w:rsidRPr="00F7387A">
        <w:rPr>
          <w:rFonts w:ascii="Times New Roman" w:hAnsi="Times New Roman" w:cs="Times New Roman"/>
          <w:sz w:val="24"/>
          <w:szCs w:val="24"/>
        </w:rPr>
        <w:t xml:space="preserve">iz Mehanizma za oporavak i otpornost. Prihodi i rashodi ugovoreni su Programskim ugovorom za razdoblje 2024.-2027. godine </w:t>
      </w:r>
      <w:r w:rsidR="002D4AEF" w:rsidRPr="00F7387A">
        <w:rPr>
          <w:rFonts w:ascii="Times New Roman" w:hAnsi="Times New Roman" w:cs="Times New Roman"/>
          <w:sz w:val="24"/>
          <w:szCs w:val="24"/>
        </w:rPr>
        <w:t>za</w:t>
      </w:r>
      <w:r w:rsidRPr="00F7387A">
        <w:rPr>
          <w:rFonts w:ascii="Times New Roman" w:hAnsi="Times New Roman" w:cs="Times New Roman"/>
          <w:sz w:val="24"/>
          <w:szCs w:val="24"/>
        </w:rPr>
        <w:t xml:space="preserve"> razvojn</w:t>
      </w:r>
      <w:r w:rsidR="002D4AEF" w:rsidRPr="00F7387A">
        <w:rPr>
          <w:rFonts w:ascii="Times New Roman" w:hAnsi="Times New Roman" w:cs="Times New Roman"/>
          <w:sz w:val="24"/>
          <w:szCs w:val="24"/>
        </w:rPr>
        <w:t>u</w:t>
      </w:r>
      <w:r w:rsidRPr="00F7387A">
        <w:rPr>
          <w:rFonts w:ascii="Times New Roman" w:hAnsi="Times New Roman" w:cs="Times New Roman"/>
          <w:sz w:val="24"/>
          <w:szCs w:val="24"/>
        </w:rPr>
        <w:t xml:space="preserve"> i izvedben</w:t>
      </w:r>
      <w:r w:rsidR="002D4AEF" w:rsidRPr="00F7387A">
        <w:rPr>
          <w:rFonts w:ascii="Times New Roman" w:hAnsi="Times New Roman" w:cs="Times New Roman"/>
          <w:sz w:val="24"/>
          <w:szCs w:val="24"/>
        </w:rPr>
        <w:t>u</w:t>
      </w:r>
      <w:r w:rsidRPr="00F7387A">
        <w:rPr>
          <w:rFonts w:ascii="Times New Roman" w:hAnsi="Times New Roman" w:cs="Times New Roman"/>
          <w:sz w:val="24"/>
          <w:szCs w:val="24"/>
        </w:rPr>
        <w:t xml:space="preserve"> proračunsk</w:t>
      </w:r>
      <w:r w:rsidR="002D4AEF" w:rsidRPr="00F7387A">
        <w:rPr>
          <w:rFonts w:ascii="Times New Roman" w:hAnsi="Times New Roman" w:cs="Times New Roman"/>
          <w:sz w:val="24"/>
          <w:szCs w:val="24"/>
        </w:rPr>
        <w:t>u</w:t>
      </w:r>
      <w:r w:rsidRPr="00F7387A">
        <w:rPr>
          <w:rFonts w:ascii="Times New Roman" w:hAnsi="Times New Roman" w:cs="Times New Roman"/>
          <w:sz w:val="24"/>
          <w:szCs w:val="24"/>
        </w:rPr>
        <w:t xml:space="preserve"> komponent</w:t>
      </w:r>
      <w:r w:rsidR="002D4AEF" w:rsidRPr="00F7387A">
        <w:rPr>
          <w:rFonts w:ascii="Times New Roman" w:hAnsi="Times New Roman" w:cs="Times New Roman"/>
          <w:sz w:val="24"/>
          <w:szCs w:val="24"/>
        </w:rPr>
        <w:t>u</w:t>
      </w:r>
      <w:r w:rsidRPr="00F7387A">
        <w:rPr>
          <w:rFonts w:ascii="Times New Roman" w:hAnsi="Times New Roman" w:cs="Times New Roman"/>
          <w:sz w:val="24"/>
          <w:szCs w:val="24"/>
        </w:rPr>
        <w:t>.</w:t>
      </w:r>
    </w:p>
    <w:p w14:paraId="14C16017" w14:textId="7A9AA053" w:rsidR="002D4AEF" w:rsidRPr="00F7387A" w:rsidRDefault="002D4AEF" w:rsidP="00A852EC">
      <w:pPr>
        <w:pStyle w:val="ListParagraph"/>
        <w:numPr>
          <w:ilvl w:val="0"/>
          <w:numId w:val="9"/>
        </w:numPr>
        <w:jc w:val="both"/>
        <w:rPr>
          <w:rFonts w:ascii="Times New Roman" w:hAnsi="Times New Roman" w:cs="Times New Roman"/>
          <w:sz w:val="24"/>
          <w:szCs w:val="24"/>
        </w:rPr>
      </w:pPr>
      <w:r w:rsidRPr="00F7387A">
        <w:rPr>
          <w:rFonts w:ascii="Times New Roman" w:hAnsi="Times New Roman" w:cs="Times New Roman"/>
          <w:sz w:val="24"/>
          <w:szCs w:val="24"/>
        </w:rPr>
        <w:t xml:space="preserve">Izvor </w:t>
      </w:r>
      <w:r w:rsidRPr="00F7387A">
        <w:rPr>
          <w:rFonts w:ascii="Times New Roman" w:hAnsi="Times New Roman" w:cs="Times New Roman"/>
          <w:i/>
          <w:iCs/>
          <w:sz w:val="24"/>
          <w:szCs w:val="24"/>
        </w:rPr>
        <w:t>61 Donacije</w:t>
      </w:r>
      <w:r w:rsidRPr="00F7387A">
        <w:rPr>
          <w:rFonts w:ascii="Times New Roman" w:hAnsi="Times New Roman" w:cs="Times New Roman"/>
          <w:sz w:val="24"/>
          <w:szCs w:val="24"/>
        </w:rPr>
        <w:t xml:space="preserve"> odnos</w:t>
      </w:r>
      <w:r w:rsidR="00A852EC">
        <w:rPr>
          <w:rFonts w:ascii="Times New Roman" w:hAnsi="Times New Roman" w:cs="Times New Roman"/>
          <w:sz w:val="24"/>
          <w:szCs w:val="24"/>
        </w:rPr>
        <w:t>i</w:t>
      </w:r>
      <w:r w:rsidRPr="00F7387A">
        <w:rPr>
          <w:rFonts w:ascii="Times New Roman" w:hAnsi="Times New Roman" w:cs="Times New Roman"/>
          <w:sz w:val="24"/>
          <w:szCs w:val="24"/>
        </w:rPr>
        <w:t xml:space="preserve"> se na prihode i rashode ostvarene po ugovorima o donacijama. U 202</w:t>
      </w:r>
      <w:r w:rsidR="003A7226" w:rsidRPr="00F7387A">
        <w:rPr>
          <w:rFonts w:ascii="Times New Roman" w:hAnsi="Times New Roman" w:cs="Times New Roman"/>
          <w:sz w:val="24"/>
          <w:szCs w:val="24"/>
        </w:rPr>
        <w:t>5</w:t>
      </w:r>
      <w:r w:rsidRPr="00F7387A">
        <w:rPr>
          <w:rFonts w:ascii="Times New Roman" w:hAnsi="Times New Roman" w:cs="Times New Roman"/>
          <w:sz w:val="24"/>
          <w:szCs w:val="24"/>
        </w:rPr>
        <w:t>. godini nismo ostvarili takve prihode, a rashodi se ostvaruju iz prenesenih sredstava ove vrste izvora financiranja koji su bili namijenjeni podmirenju indirektnih troškova.</w:t>
      </w:r>
    </w:p>
    <w:p w14:paraId="1E45F79F" w14:textId="051E0935" w:rsidR="003A7226" w:rsidRPr="00F7387A" w:rsidRDefault="003A7226" w:rsidP="00A852EC">
      <w:pPr>
        <w:pStyle w:val="ListParagraph"/>
        <w:numPr>
          <w:ilvl w:val="0"/>
          <w:numId w:val="9"/>
        </w:numPr>
        <w:jc w:val="both"/>
        <w:rPr>
          <w:rFonts w:ascii="Times New Roman" w:hAnsi="Times New Roman" w:cs="Times New Roman"/>
          <w:sz w:val="24"/>
          <w:szCs w:val="24"/>
        </w:rPr>
      </w:pPr>
      <w:r w:rsidRPr="00F7387A">
        <w:rPr>
          <w:rFonts w:ascii="Times New Roman" w:hAnsi="Times New Roman" w:cs="Times New Roman"/>
          <w:sz w:val="24"/>
          <w:szCs w:val="24"/>
        </w:rPr>
        <w:t>Izvor 71 Prihodi od nefinancijske imovine odnos</w:t>
      </w:r>
      <w:r w:rsidR="00A852EC">
        <w:rPr>
          <w:rFonts w:ascii="Times New Roman" w:hAnsi="Times New Roman" w:cs="Times New Roman"/>
          <w:sz w:val="24"/>
          <w:szCs w:val="24"/>
        </w:rPr>
        <w:t>i</w:t>
      </w:r>
      <w:r w:rsidRPr="00F7387A">
        <w:rPr>
          <w:rFonts w:ascii="Times New Roman" w:hAnsi="Times New Roman" w:cs="Times New Roman"/>
          <w:sz w:val="24"/>
          <w:szCs w:val="24"/>
        </w:rPr>
        <w:t xml:space="preserve"> se na prihode ostvarene prodajom imovine. U prijašnjim godinama ostvarili smo prihod u iznosu od 86,00 eura i u 2025. godini smo ga utrošili za nabavu dijela nefinancijske imovine.</w:t>
      </w:r>
    </w:p>
    <w:p w14:paraId="462436A9" w14:textId="7F6EF368" w:rsidR="00AE1F35" w:rsidRPr="00F7387A" w:rsidRDefault="002D4AEF" w:rsidP="002D4AEF">
      <w:pPr>
        <w:jc w:val="both"/>
        <w:rPr>
          <w:rFonts w:ascii="Times New Roman" w:hAnsi="Times New Roman" w:cs="Times New Roman"/>
          <w:sz w:val="24"/>
          <w:szCs w:val="24"/>
        </w:rPr>
      </w:pPr>
      <w:r w:rsidRPr="00F7387A">
        <w:rPr>
          <w:rFonts w:ascii="Times New Roman" w:hAnsi="Times New Roman" w:cs="Times New Roman"/>
          <w:sz w:val="24"/>
          <w:szCs w:val="24"/>
        </w:rPr>
        <w:t xml:space="preserve">Sadržaj i struktura prihoda i rashoda po izvorima financiranja će se </w:t>
      </w:r>
      <w:r w:rsidR="006C15D3" w:rsidRPr="00F7387A">
        <w:rPr>
          <w:rFonts w:ascii="Times New Roman" w:hAnsi="Times New Roman" w:cs="Times New Roman"/>
          <w:sz w:val="24"/>
          <w:szCs w:val="24"/>
        </w:rPr>
        <w:t xml:space="preserve">opširnije </w:t>
      </w:r>
      <w:r w:rsidRPr="00F7387A">
        <w:rPr>
          <w:rFonts w:ascii="Times New Roman" w:hAnsi="Times New Roman" w:cs="Times New Roman"/>
          <w:sz w:val="24"/>
          <w:szCs w:val="24"/>
        </w:rPr>
        <w:t xml:space="preserve">pojasniti </w:t>
      </w:r>
      <w:r w:rsidR="006C15D3" w:rsidRPr="00F7387A">
        <w:rPr>
          <w:rFonts w:ascii="Times New Roman" w:hAnsi="Times New Roman" w:cs="Times New Roman"/>
          <w:sz w:val="24"/>
          <w:szCs w:val="24"/>
        </w:rPr>
        <w:t>u</w:t>
      </w:r>
      <w:r w:rsidRPr="00F7387A">
        <w:rPr>
          <w:rFonts w:ascii="Times New Roman" w:hAnsi="Times New Roman" w:cs="Times New Roman"/>
          <w:sz w:val="24"/>
          <w:szCs w:val="24"/>
        </w:rPr>
        <w:t xml:space="preserve"> Obrazloženj</w:t>
      </w:r>
      <w:r w:rsidR="006C15D3" w:rsidRPr="00F7387A">
        <w:rPr>
          <w:rFonts w:ascii="Times New Roman" w:hAnsi="Times New Roman" w:cs="Times New Roman"/>
          <w:sz w:val="24"/>
          <w:szCs w:val="24"/>
        </w:rPr>
        <w:t>u posebnog dijela</w:t>
      </w:r>
      <w:r w:rsidRPr="00F7387A">
        <w:rPr>
          <w:rFonts w:ascii="Times New Roman" w:hAnsi="Times New Roman" w:cs="Times New Roman"/>
          <w:sz w:val="24"/>
          <w:szCs w:val="24"/>
        </w:rPr>
        <w:t xml:space="preserve"> izvršenja financijskog plana za 202</w:t>
      </w:r>
      <w:r w:rsidR="00A852EC">
        <w:rPr>
          <w:rFonts w:ascii="Times New Roman" w:hAnsi="Times New Roman" w:cs="Times New Roman"/>
          <w:sz w:val="24"/>
          <w:szCs w:val="24"/>
        </w:rPr>
        <w:t>5</w:t>
      </w:r>
      <w:r w:rsidRPr="00F7387A">
        <w:rPr>
          <w:rFonts w:ascii="Times New Roman" w:hAnsi="Times New Roman" w:cs="Times New Roman"/>
          <w:sz w:val="24"/>
          <w:szCs w:val="24"/>
        </w:rPr>
        <w:t>. godinu</w:t>
      </w:r>
      <w:r w:rsidR="006B607B" w:rsidRPr="00F7387A">
        <w:rPr>
          <w:rFonts w:ascii="Times New Roman" w:hAnsi="Times New Roman" w:cs="Times New Roman"/>
          <w:sz w:val="24"/>
          <w:szCs w:val="24"/>
        </w:rPr>
        <w:t xml:space="preserve"> (tabela II. Posebni dio). </w:t>
      </w:r>
      <w:r w:rsidRPr="00F7387A">
        <w:rPr>
          <w:rFonts w:ascii="Times New Roman" w:hAnsi="Times New Roman" w:cs="Times New Roman"/>
          <w:sz w:val="24"/>
          <w:szCs w:val="24"/>
        </w:rPr>
        <w:t xml:space="preserve"> </w:t>
      </w:r>
    </w:p>
    <w:p w14:paraId="55356B73" w14:textId="77777777" w:rsidR="00E3011D" w:rsidRPr="00F7387A" w:rsidRDefault="00E3011D" w:rsidP="006375D9">
      <w:pPr>
        <w:jc w:val="both"/>
        <w:rPr>
          <w:rFonts w:ascii="Times New Roman" w:hAnsi="Times New Roman" w:cs="Times New Roman"/>
          <w:sz w:val="24"/>
          <w:szCs w:val="24"/>
        </w:rPr>
      </w:pPr>
    </w:p>
    <w:p w14:paraId="5E9CA6DE" w14:textId="7741A10F" w:rsidR="0078239D" w:rsidRPr="00F7387A" w:rsidRDefault="0066624A" w:rsidP="00395589">
      <w:pPr>
        <w:jc w:val="both"/>
        <w:rPr>
          <w:rFonts w:ascii="Times New Roman" w:hAnsi="Times New Roman" w:cs="Times New Roman"/>
          <w:sz w:val="24"/>
          <w:szCs w:val="24"/>
        </w:rPr>
      </w:pPr>
      <w:r w:rsidRPr="00F7387A">
        <w:rPr>
          <w:rFonts w:ascii="Times New Roman" w:hAnsi="Times New Roman" w:cs="Times New Roman"/>
          <w:sz w:val="24"/>
          <w:szCs w:val="24"/>
        </w:rPr>
        <w:t xml:space="preserve">A.3. </w:t>
      </w:r>
      <w:r w:rsidR="0078239D" w:rsidRPr="00F7387A">
        <w:rPr>
          <w:rFonts w:ascii="Times New Roman" w:hAnsi="Times New Roman" w:cs="Times New Roman"/>
          <w:sz w:val="24"/>
          <w:szCs w:val="24"/>
        </w:rPr>
        <w:t>IZVJEŠTAJ O RASHODIMA PREMA FUNKCIJSKOJ KLASIFIKACIJI</w:t>
      </w:r>
    </w:p>
    <w:p w14:paraId="648147AD" w14:textId="58CC29F4" w:rsidR="0078239D" w:rsidRPr="00F7387A" w:rsidRDefault="0078239D" w:rsidP="00395589">
      <w:pPr>
        <w:jc w:val="both"/>
        <w:rPr>
          <w:rFonts w:ascii="Times New Roman" w:hAnsi="Times New Roman" w:cs="Times New Roman"/>
          <w:sz w:val="24"/>
          <w:szCs w:val="24"/>
        </w:rPr>
      </w:pPr>
      <w:r w:rsidRPr="00F7387A">
        <w:rPr>
          <w:rFonts w:ascii="Times New Roman" w:hAnsi="Times New Roman" w:cs="Times New Roman"/>
          <w:sz w:val="24"/>
          <w:szCs w:val="24"/>
        </w:rPr>
        <w:t xml:space="preserve">Izvještaj o rashodima prema funkcijskoj klasifikaciji </w:t>
      </w:r>
      <w:r w:rsidR="0066624A" w:rsidRPr="00F7387A">
        <w:rPr>
          <w:rFonts w:ascii="Times New Roman" w:hAnsi="Times New Roman" w:cs="Times New Roman"/>
          <w:sz w:val="24"/>
          <w:szCs w:val="24"/>
        </w:rPr>
        <w:t xml:space="preserve">(tabela A.3.) </w:t>
      </w:r>
      <w:r w:rsidR="00EA5F6D" w:rsidRPr="00F7387A">
        <w:rPr>
          <w:rFonts w:ascii="Times New Roman" w:hAnsi="Times New Roman" w:cs="Times New Roman"/>
          <w:sz w:val="24"/>
          <w:szCs w:val="24"/>
        </w:rPr>
        <w:t>pokazuje</w:t>
      </w:r>
      <w:r w:rsidRPr="00F7387A">
        <w:rPr>
          <w:rFonts w:ascii="Times New Roman" w:hAnsi="Times New Roman" w:cs="Times New Roman"/>
          <w:sz w:val="24"/>
          <w:szCs w:val="24"/>
        </w:rPr>
        <w:t xml:space="preserve"> </w:t>
      </w:r>
      <w:r w:rsidR="00EA5F6D" w:rsidRPr="00F7387A">
        <w:rPr>
          <w:rFonts w:ascii="Times New Roman" w:hAnsi="Times New Roman" w:cs="Times New Roman"/>
          <w:sz w:val="24"/>
          <w:szCs w:val="24"/>
        </w:rPr>
        <w:t xml:space="preserve">ukupan </w:t>
      </w:r>
      <w:r w:rsidRPr="00F7387A">
        <w:rPr>
          <w:rFonts w:ascii="Times New Roman" w:hAnsi="Times New Roman" w:cs="Times New Roman"/>
          <w:sz w:val="24"/>
          <w:szCs w:val="24"/>
        </w:rPr>
        <w:t>iznos</w:t>
      </w:r>
      <w:r w:rsidR="00EA5F6D" w:rsidRPr="00F7387A">
        <w:rPr>
          <w:rFonts w:ascii="Times New Roman" w:hAnsi="Times New Roman" w:cs="Times New Roman"/>
          <w:sz w:val="24"/>
          <w:szCs w:val="24"/>
        </w:rPr>
        <w:t xml:space="preserve"> </w:t>
      </w:r>
      <w:r w:rsidRPr="00F7387A">
        <w:rPr>
          <w:rFonts w:ascii="Times New Roman" w:hAnsi="Times New Roman" w:cs="Times New Roman"/>
          <w:sz w:val="24"/>
          <w:szCs w:val="24"/>
        </w:rPr>
        <w:t>rashoda prema funkcijskoj klasifikaciji</w:t>
      </w:r>
      <w:r w:rsidR="00EA5F6D" w:rsidRPr="00F7387A">
        <w:rPr>
          <w:rFonts w:ascii="Times New Roman" w:hAnsi="Times New Roman" w:cs="Times New Roman"/>
          <w:sz w:val="24"/>
          <w:szCs w:val="24"/>
        </w:rPr>
        <w:t xml:space="preserve"> (Istraživanje i razvoj: Opće javne usluge) u iznosu od 2.</w:t>
      </w:r>
      <w:r w:rsidR="003A7226" w:rsidRPr="00F7387A">
        <w:rPr>
          <w:rFonts w:ascii="Times New Roman" w:hAnsi="Times New Roman" w:cs="Times New Roman"/>
          <w:sz w:val="24"/>
          <w:szCs w:val="24"/>
        </w:rPr>
        <w:t>80</w:t>
      </w:r>
      <w:r w:rsidR="00BA67A5" w:rsidRPr="00F7387A">
        <w:rPr>
          <w:rFonts w:ascii="Times New Roman" w:hAnsi="Times New Roman" w:cs="Times New Roman"/>
          <w:sz w:val="24"/>
          <w:szCs w:val="24"/>
        </w:rPr>
        <w:t>1</w:t>
      </w:r>
      <w:r w:rsidR="00EA5F6D" w:rsidRPr="00F7387A">
        <w:rPr>
          <w:rFonts w:ascii="Times New Roman" w:hAnsi="Times New Roman" w:cs="Times New Roman"/>
          <w:sz w:val="24"/>
          <w:szCs w:val="24"/>
        </w:rPr>
        <w:t>.</w:t>
      </w:r>
      <w:r w:rsidR="003A7226" w:rsidRPr="00F7387A">
        <w:rPr>
          <w:rFonts w:ascii="Times New Roman" w:hAnsi="Times New Roman" w:cs="Times New Roman"/>
          <w:sz w:val="24"/>
          <w:szCs w:val="24"/>
        </w:rPr>
        <w:t>383</w:t>
      </w:r>
      <w:r w:rsidR="00EA5F6D" w:rsidRPr="00F7387A">
        <w:rPr>
          <w:rFonts w:ascii="Times New Roman" w:hAnsi="Times New Roman" w:cs="Times New Roman"/>
          <w:sz w:val="24"/>
          <w:szCs w:val="24"/>
        </w:rPr>
        <w:t>,</w:t>
      </w:r>
      <w:r w:rsidR="003A7226" w:rsidRPr="00F7387A">
        <w:rPr>
          <w:rFonts w:ascii="Times New Roman" w:hAnsi="Times New Roman" w:cs="Times New Roman"/>
          <w:sz w:val="24"/>
          <w:szCs w:val="24"/>
        </w:rPr>
        <w:t>80 eura.</w:t>
      </w:r>
    </w:p>
    <w:p w14:paraId="1E8A35F2" w14:textId="77777777" w:rsidR="0078239D" w:rsidRDefault="0078239D" w:rsidP="00395589">
      <w:pPr>
        <w:jc w:val="both"/>
        <w:rPr>
          <w:rFonts w:ascii="Times New Roman" w:hAnsi="Times New Roman" w:cs="Times New Roman"/>
          <w:sz w:val="24"/>
          <w:szCs w:val="24"/>
        </w:rPr>
      </w:pPr>
    </w:p>
    <w:p w14:paraId="43240A4C" w14:textId="77777777" w:rsidR="00D560E3" w:rsidRPr="006B607B" w:rsidRDefault="00D560E3" w:rsidP="00395589">
      <w:pPr>
        <w:jc w:val="both"/>
        <w:rPr>
          <w:rFonts w:ascii="Times New Roman" w:hAnsi="Times New Roman" w:cs="Times New Roman"/>
          <w:sz w:val="24"/>
          <w:szCs w:val="24"/>
        </w:rPr>
      </w:pPr>
    </w:p>
    <w:p w14:paraId="6A516E41" w14:textId="7B5B1E0A" w:rsidR="0078239D" w:rsidRPr="00F7387A" w:rsidRDefault="006C15D3" w:rsidP="00395589">
      <w:pPr>
        <w:jc w:val="both"/>
        <w:rPr>
          <w:rFonts w:ascii="Times New Roman" w:hAnsi="Times New Roman" w:cs="Times New Roman"/>
          <w:sz w:val="24"/>
          <w:szCs w:val="24"/>
        </w:rPr>
      </w:pPr>
      <w:r w:rsidRPr="00F7387A">
        <w:rPr>
          <w:rFonts w:ascii="Times New Roman" w:hAnsi="Times New Roman" w:cs="Times New Roman"/>
          <w:sz w:val="24"/>
          <w:szCs w:val="24"/>
        </w:rPr>
        <w:t xml:space="preserve">B.1 </w:t>
      </w:r>
      <w:r w:rsidR="0078239D" w:rsidRPr="00F7387A">
        <w:rPr>
          <w:rFonts w:ascii="Times New Roman" w:hAnsi="Times New Roman" w:cs="Times New Roman"/>
          <w:sz w:val="24"/>
          <w:szCs w:val="24"/>
        </w:rPr>
        <w:t xml:space="preserve">IZVJEŠTAJ RAČUNA FINANCIRANJA PREMA EKONOMSKOJ KLASIFIKACIJI I </w:t>
      </w:r>
      <w:r w:rsidRPr="00F7387A">
        <w:rPr>
          <w:rFonts w:ascii="Times New Roman" w:hAnsi="Times New Roman" w:cs="Times New Roman"/>
          <w:sz w:val="24"/>
          <w:szCs w:val="24"/>
        </w:rPr>
        <w:t xml:space="preserve">B.2 IZVJEŠTAJ RAČUNA FINANCIRANJA </w:t>
      </w:r>
      <w:r w:rsidR="0078239D" w:rsidRPr="00F7387A">
        <w:rPr>
          <w:rFonts w:ascii="Times New Roman" w:hAnsi="Times New Roman" w:cs="Times New Roman"/>
          <w:sz w:val="24"/>
          <w:szCs w:val="24"/>
        </w:rPr>
        <w:t>PREMA IZVORIMA FINANCIRANJA</w:t>
      </w:r>
    </w:p>
    <w:p w14:paraId="34707FA5" w14:textId="04DC93C3" w:rsidR="006C15D3" w:rsidRPr="00F7387A" w:rsidRDefault="00395589" w:rsidP="00395589">
      <w:pPr>
        <w:jc w:val="both"/>
        <w:rPr>
          <w:rFonts w:ascii="Times New Roman" w:hAnsi="Times New Roman" w:cs="Times New Roman"/>
          <w:sz w:val="24"/>
          <w:szCs w:val="24"/>
        </w:rPr>
      </w:pPr>
      <w:r w:rsidRPr="00F7387A">
        <w:rPr>
          <w:rFonts w:ascii="Times New Roman" w:hAnsi="Times New Roman" w:cs="Times New Roman"/>
          <w:sz w:val="24"/>
          <w:szCs w:val="24"/>
        </w:rPr>
        <w:t>Izvještaj računa financiranja prema ekonomskoj klasifikaciji (B</w:t>
      </w:r>
      <w:r w:rsidR="006C15D3" w:rsidRPr="00F7387A">
        <w:rPr>
          <w:rFonts w:ascii="Times New Roman" w:hAnsi="Times New Roman" w:cs="Times New Roman"/>
          <w:sz w:val="24"/>
          <w:szCs w:val="24"/>
        </w:rPr>
        <w:t>.</w:t>
      </w:r>
      <w:r w:rsidRPr="00F7387A">
        <w:rPr>
          <w:rFonts w:ascii="Times New Roman" w:hAnsi="Times New Roman" w:cs="Times New Roman"/>
          <w:sz w:val="24"/>
          <w:szCs w:val="24"/>
        </w:rPr>
        <w:t>1) pokazuj</w:t>
      </w:r>
      <w:r w:rsidR="006C15D3" w:rsidRPr="00F7387A">
        <w:rPr>
          <w:rFonts w:ascii="Times New Roman" w:hAnsi="Times New Roman" w:cs="Times New Roman"/>
          <w:sz w:val="24"/>
          <w:szCs w:val="24"/>
        </w:rPr>
        <w:t>e</w:t>
      </w:r>
      <w:r w:rsidRPr="00F7387A">
        <w:rPr>
          <w:rFonts w:ascii="Times New Roman" w:hAnsi="Times New Roman" w:cs="Times New Roman"/>
          <w:sz w:val="24"/>
          <w:szCs w:val="24"/>
        </w:rPr>
        <w:t xml:space="preserve"> da Ekonomski institut, Zagreb nije imao zaduživanja u 202</w:t>
      </w:r>
      <w:r w:rsidR="003A7226" w:rsidRPr="00F7387A">
        <w:rPr>
          <w:rFonts w:ascii="Times New Roman" w:hAnsi="Times New Roman" w:cs="Times New Roman"/>
          <w:sz w:val="24"/>
          <w:szCs w:val="24"/>
        </w:rPr>
        <w:t>5</w:t>
      </w:r>
      <w:r w:rsidRPr="00F7387A">
        <w:rPr>
          <w:rFonts w:ascii="Times New Roman" w:hAnsi="Times New Roman" w:cs="Times New Roman"/>
          <w:sz w:val="24"/>
          <w:szCs w:val="24"/>
        </w:rPr>
        <w:t>. godini, te da je imao izdatke koji predstavljaju četiri plaćene kvartalne rate glavnice kredita. U 2014. godini s Hrvatskom bankom za obnovu i razvoj (HBOR-om) ugovoren je namjenski kredit za podmirivanje troškova poboljšanja energetske učinkovitosti zgrade Ekonomskog instituta s planom otplate do 31.03.2028. godine. Vraća se HBOR-u u kvartalnim ratama</w:t>
      </w:r>
      <w:r w:rsidR="006C15D3" w:rsidRPr="00F7387A">
        <w:rPr>
          <w:rFonts w:ascii="Times New Roman" w:hAnsi="Times New Roman" w:cs="Times New Roman"/>
          <w:sz w:val="24"/>
          <w:szCs w:val="24"/>
        </w:rPr>
        <w:t>.</w:t>
      </w:r>
    </w:p>
    <w:p w14:paraId="42A84FE3" w14:textId="19D01F7D" w:rsidR="00395589" w:rsidRPr="00F7387A" w:rsidRDefault="006C15D3" w:rsidP="00395589">
      <w:pPr>
        <w:jc w:val="both"/>
        <w:rPr>
          <w:rFonts w:ascii="Times New Roman" w:hAnsi="Times New Roman" w:cs="Times New Roman"/>
          <w:sz w:val="24"/>
          <w:szCs w:val="24"/>
        </w:rPr>
      </w:pPr>
      <w:r w:rsidRPr="00F7387A">
        <w:rPr>
          <w:rFonts w:ascii="Times New Roman" w:hAnsi="Times New Roman" w:cs="Times New Roman"/>
          <w:sz w:val="24"/>
          <w:szCs w:val="24"/>
        </w:rPr>
        <w:t>Izvještaj računa financiranja prema izvorima financiranja (B.2) pokazuje da se kredit</w:t>
      </w:r>
      <w:r w:rsidR="00395589" w:rsidRPr="00F7387A">
        <w:rPr>
          <w:rFonts w:ascii="Times New Roman" w:hAnsi="Times New Roman" w:cs="Times New Roman"/>
          <w:sz w:val="24"/>
          <w:szCs w:val="24"/>
        </w:rPr>
        <w:t xml:space="preserve"> podmiruje iz vlastitih sredstava Ekonomskog instituta, Zagreb.</w:t>
      </w:r>
    </w:p>
    <w:p w14:paraId="7C5DB977" w14:textId="77777777" w:rsidR="00EA5F6D" w:rsidRPr="006B607B" w:rsidRDefault="00EA5F6D" w:rsidP="00395589">
      <w:pPr>
        <w:jc w:val="both"/>
        <w:rPr>
          <w:rFonts w:ascii="Times New Roman" w:hAnsi="Times New Roman" w:cs="Times New Roman"/>
          <w:sz w:val="24"/>
          <w:szCs w:val="24"/>
        </w:rPr>
      </w:pPr>
    </w:p>
    <w:p w14:paraId="7543AAE4" w14:textId="77777777" w:rsidR="00395589" w:rsidRPr="006B607B" w:rsidRDefault="00395589" w:rsidP="00395589">
      <w:pPr>
        <w:jc w:val="both"/>
        <w:rPr>
          <w:rFonts w:ascii="Times New Roman" w:hAnsi="Times New Roman" w:cs="Times New Roman"/>
          <w:sz w:val="24"/>
          <w:szCs w:val="24"/>
        </w:rPr>
      </w:pPr>
    </w:p>
    <w:p w14:paraId="7A422D73" w14:textId="04F4C330" w:rsidR="00944AFC" w:rsidRPr="006B607B" w:rsidRDefault="00944AFC" w:rsidP="006375D9">
      <w:pPr>
        <w:jc w:val="both"/>
        <w:rPr>
          <w:rFonts w:ascii="Times New Roman" w:hAnsi="Times New Roman" w:cs="Times New Roman"/>
          <w:sz w:val="24"/>
          <w:szCs w:val="24"/>
        </w:rPr>
      </w:pPr>
    </w:p>
    <w:sectPr w:rsidR="00944AFC" w:rsidRPr="006B6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056A"/>
    <w:multiLevelType w:val="hybridMultilevel"/>
    <w:tmpl w:val="127A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93115"/>
    <w:multiLevelType w:val="hybridMultilevel"/>
    <w:tmpl w:val="65AE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2187"/>
    <w:multiLevelType w:val="hybridMultilevel"/>
    <w:tmpl w:val="6016BFC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9F796E"/>
    <w:multiLevelType w:val="hybridMultilevel"/>
    <w:tmpl w:val="84BC8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8007DE"/>
    <w:multiLevelType w:val="hybridMultilevel"/>
    <w:tmpl w:val="0918263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D7835B2"/>
    <w:multiLevelType w:val="hybridMultilevel"/>
    <w:tmpl w:val="7E10A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421468"/>
    <w:multiLevelType w:val="hybridMultilevel"/>
    <w:tmpl w:val="E31668DA"/>
    <w:lvl w:ilvl="0" w:tplc="22E4D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BE41BB"/>
    <w:multiLevelType w:val="hybridMultilevel"/>
    <w:tmpl w:val="DDA6B874"/>
    <w:lvl w:ilvl="0" w:tplc="D7F09F6C">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21907"/>
    <w:multiLevelType w:val="hybridMultilevel"/>
    <w:tmpl w:val="B4F0FD30"/>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9" w15:restartNumberingAfterBreak="0">
    <w:nsid w:val="77460A8C"/>
    <w:multiLevelType w:val="hybridMultilevel"/>
    <w:tmpl w:val="9E96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13188">
    <w:abstractNumId w:val="1"/>
  </w:num>
  <w:num w:numId="2" w16cid:durableId="252474665">
    <w:abstractNumId w:val="0"/>
  </w:num>
  <w:num w:numId="3" w16cid:durableId="816342351">
    <w:abstractNumId w:val="5"/>
  </w:num>
  <w:num w:numId="4" w16cid:durableId="799227514">
    <w:abstractNumId w:val="6"/>
  </w:num>
  <w:num w:numId="5" w16cid:durableId="1260135590">
    <w:abstractNumId w:val="7"/>
  </w:num>
  <w:num w:numId="6" w16cid:durableId="1649699457">
    <w:abstractNumId w:val="3"/>
  </w:num>
  <w:num w:numId="7" w16cid:durableId="292518428">
    <w:abstractNumId w:val="9"/>
  </w:num>
  <w:num w:numId="8" w16cid:durableId="271789169">
    <w:abstractNumId w:val="2"/>
  </w:num>
  <w:num w:numId="9" w16cid:durableId="1228494419">
    <w:abstractNumId w:val="8"/>
  </w:num>
  <w:num w:numId="10" w16cid:durableId="147976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FC"/>
    <w:rsid w:val="0000104C"/>
    <w:rsid w:val="00002D25"/>
    <w:rsid w:val="000041A8"/>
    <w:rsid w:val="00017514"/>
    <w:rsid w:val="00033235"/>
    <w:rsid w:val="000417DE"/>
    <w:rsid w:val="00094DAB"/>
    <w:rsid w:val="000A34D2"/>
    <w:rsid w:val="000B0C40"/>
    <w:rsid w:val="000C0A6B"/>
    <w:rsid w:val="000E21CC"/>
    <w:rsid w:val="000F3F6B"/>
    <w:rsid w:val="000F7207"/>
    <w:rsid w:val="00125A89"/>
    <w:rsid w:val="00126A7A"/>
    <w:rsid w:val="001324F9"/>
    <w:rsid w:val="00152AC3"/>
    <w:rsid w:val="001539BF"/>
    <w:rsid w:val="00154D2C"/>
    <w:rsid w:val="00162302"/>
    <w:rsid w:val="00170768"/>
    <w:rsid w:val="00181329"/>
    <w:rsid w:val="00187656"/>
    <w:rsid w:val="00192445"/>
    <w:rsid w:val="00194CB6"/>
    <w:rsid w:val="001C4BDA"/>
    <w:rsid w:val="001E0548"/>
    <w:rsid w:val="001F5956"/>
    <w:rsid w:val="00205714"/>
    <w:rsid w:val="00205C01"/>
    <w:rsid w:val="002137A1"/>
    <w:rsid w:val="00247A31"/>
    <w:rsid w:val="002617A9"/>
    <w:rsid w:val="002869D0"/>
    <w:rsid w:val="002B1727"/>
    <w:rsid w:val="002B3521"/>
    <w:rsid w:val="002D2AA3"/>
    <w:rsid w:val="002D4AEF"/>
    <w:rsid w:val="002F31C0"/>
    <w:rsid w:val="002F5759"/>
    <w:rsid w:val="00340FB5"/>
    <w:rsid w:val="00342C4A"/>
    <w:rsid w:val="0038008B"/>
    <w:rsid w:val="003935F6"/>
    <w:rsid w:val="00395589"/>
    <w:rsid w:val="003A3E65"/>
    <w:rsid w:val="003A7226"/>
    <w:rsid w:val="003B1D83"/>
    <w:rsid w:val="003B44F1"/>
    <w:rsid w:val="003C60DB"/>
    <w:rsid w:val="003D2951"/>
    <w:rsid w:val="003D2A22"/>
    <w:rsid w:val="003D3477"/>
    <w:rsid w:val="003D6EE1"/>
    <w:rsid w:val="003E1731"/>
    <w:rsid w:val="003F767F"/>
    <w:rsid w:val="00405212"/>
    <w:rsid w:val="00416484"/>
    <w:rsid w:val="00422F52"/>
    <w:rsid w:val="0043211F"/>
    <w:rsid w:val="0044234F"/>
    <w:rsid w:val="004460ED"/>
    <w:rsid w:val="0046317A"/>
    <w:rsid w:val="00464332"/>
    <w:rsid w:val="0046515F"/>
    <w:rsid w:val="00467816"/>
    <w:rsid w:val="00482BFB"/>
    <w:rsid w:val="004C4175"/>
    <w:rsid w:val="004E20DA"/>
    <w:rsid w:val="004F261C"/>
    <w:rsid w:val="004F288D"/>
    <w:rsid w:val="004F445A"/>
    <w:rsid w:val="00500D7E"/>
    <w:rsid w:val="0051329D"/>
    <w:rsid w:val="00523985"/>
    <w:rsid w:val="00527D78"/>
    <w:rsid w:val="00532638"/>
    <w:rsid w:val="0054556B"/>
    <w:rsid w:val="005541EE"/>
    <w:rsid w:val="00560659"/>
    <w:rsid w:val="00585F31"/>
    <w:rsid w:val="005A0321"/>
    <w:rsid w:val="005A0B78"/>
    <w:rsid w:val="005A5940"/>
    <w:rsid w:val="005A5B2A"/>
    <w:rsid w:val="005B1C99"/>
    <w:rsid w:val="005D26EF"/>
    <w:rsid w:val="005D335C"/>
    <w:rsid w:val="005E2664"/>
    <w:rsid w:val="005F036A"/>
    <w:rsid w:val="00616331"/>
    <w:rsid w:val="00636A6F"/>
    <w:rsid w:val="006375D9"/>
    <w:rsid w:val="00643580"/>
    <w:rsid w:val="0065772D"/>
    <w:rsid w:val="006660E7"/>
    <w:rsid w:val="0066624A"/>
    <w:rsid w:val="00673BF0"/>
    <w:rsid w:val="00681D20"/>
    <w:rsid w:val="006902F4"/>
    <w:rsid w:val="0069074D"/>
    <w:rsid w:val="00692B76"/>
    <w:rsid w:val="006A4CB4"/>
    <w:rsid w:val="006B607B"/>
    <w:rsid w:val="006C15D3"/>
    <w:rsid w:val="006C6823"/>
    <w:rsid w:val="006E5B7F"/>
    <w:rsid w:val="006F0CBD"/>
    <w:rsid w:val="007023F0"/>
    <w:rsid w:val="00725B84"/>
    <w:rsid w:val="0074472B"/>
    <w:rsid w:val="00753971"/>
    <w:rsid w:val="0076134C"/>
    <w:rsid w:val="0078239D"/>
    <w:rsid w:val="0078273A"/>
    <w:rsid w:val="007974B0"/>
    <w:rsid w:val="007A32E8"/>
    <w:rsid w:val="007C4967"/>
    <w:rsid w:val="007D5567"/>
    <w:rsid w:val="007F65E2"/>
    <w:rsid w:val="00812706"/>
    <w:rsid w:val="0084106B"/>
    <w:rsid w:val="00846A8F"/>
    <w:rsid w:val="008508D3"/>
    <w:rsid w:val="008562AE"/>
    <w:rsid w:val="008572BE"/>
    <w:rsid w:val="00860CB4"/>
    <w:rsid w:val="008770C0"/>
    <w:rsid w:val="008805B7"/>
    <w:rsid w:val="00880854"/>
    <w:rsid w:val="00887B51"/>
    <w:rsid w:val="0089333E"/>
    <w:rsid w:val="008966A6"/>
    <w:rsid w:val="008B1DFB"/>
    <w:rsid w:val="008B76C3"/>
    <w:rsid w:val="008C0263"/>
    <w:rsid w:val="008E29AF"/>
    <w:rsid w:val="0092170C"/>
    <w:rsid w:val="00926FF2"/>
    <w:rsid w:val="00936A3D"/>
    <w:rsid w:val="00944AFC"/>
    <w:rsid w:val="00946D27"/>
    <w:rsid w:val="00947DF0"/>
    <w:rsid w:val="00950FD0"/>
    <w:rsid w:val="00953CE6"/>
    <w:rsid w:val="009B33F7"/>
    <w:rsid w:val="009C371B"/>
    <w:rsid w:val="009C457B"/>
    <w:rsid w:val="009C7BBC"/>
    <w:rsid w:val="009E6600"/>
    <w:rsid w:val="00A01EAB"/>
    <w:rsid w:val="00A04B6D"/>
    <w:rsid w:val="00A11C0B"/>
    <w:rsid w:val="00A64E74"/>
    <w:rsid w:val="00A846C3"/>
    <w:rsid w:val="00A852EC"/>
    <w:rsid w:val="00A93D2C"/>
    <w:rsid w:val="00AA7E97"/>
    <w:rsid w:val="00AB1D71"/>
    <w:rsid w:val="00AD38EA"/>
    <w:rsid w:val="00AE1F35"/>
    <w:rsid w:val="00AF6CBB"/>
    <w:rsid w:val="00B0085A"/>
    <w:rsid w:val="00B02D71"/>
    <w:rsid w:val="00B463CE"/>
    <w:rsid w:val="00B61991"/>
    <w:rsid w:val="00B939B5"/>
    <w:rsid w:val="00BA04DA"/>
    <w:rsid w:val="00BA67A5"/>
    <w:rsid w:val="00BB0F28"/>
    <w:rsid w:val="00BD0761"/>
    <w:rsid w:val="00BF1E18"/>
    <w:rsid w:val="00BF3C80"/>
    <w:rsid w:val="00C13921"/>
    <w:rsid w:val="00C17840"/>
    <w:rsid w:val="00C21823"/>
    <w:rsid w:val="00C30C00"/>
    <w:rsid w:val="00C3322C"/>
    <w:rsid w:val="00C4288A"/>
    <w:rsid w:val="00C54249"/>
    <w:rsid w:val="00C568F7"/>
    <w:rsid w:val="00C57833"/>
    <w:rsid w:val="00C72ECE"/>
    <w:rsid w:val="00C85062"/>
    <w:rsid w:val="00C96721"/>
    <w:rsid w:val="00CA7482"/>
    <w:rsid w:val="00CC4F8F"/>
    <w:rsid w:val="00CD1BBA"/>
    <w:rsid w:val="00CF10AA"/>
    <w:rsid w:val="00D1133B"/>
    <w:rsid w:val="00D15A3B"/>
    <w:rsid w:val="00D2190A"/>
    <w:rsid w:val="00D44E4E"/>
    <w:rsid w:val="00D471CE"/>
    <w:rsid w:val="00D478FA"/>
    <w:rsid w:val="00D560E3"/>
    <w:rsid w:val="00D71A1D"/>
    <w:rsid w:val="00D75F2B"/>
    <w:rsid w:val="00D77D0D"/>
    <w:rsid w:val="00D93122"/>
    <w:rsid w:val="00DB1586"/>
    <w:rsid w:val="00DB6F50"/>
    <w:rsid w:val="00DC4A8C"/>
    <w:rsid w:val="00E22C76"/>
    <w:rsid w:val="00E2311F"/>
    <w:rsid w:val="00E3011D"/>
    <w:rsid w:val="00E34887"/>
    <w:rsid w:val="00E503B9"/>
    <w:rsid w:val="00E5237D"/>
    <w:rsid w:val="00E57F0A"/>
    <w:rsid w:val="00E74CFE"/>
    <w:rsid w:val="00E87F4B"/>
    <w:rsid w:val="00EA5F6D"/>
    <w:rsid w:val="00EC5E64"/>
    <w:rsid w:val="00ED7FBE"/>
    <w:rsid w:val="00EE7B32"/>
    <w:rsid w:val="00F0407F"/>
    <w:rsid w:val="00F152BE"/>
    <w:rsid w:val="00F25C6E"/>
    <w:rsid w:val="00F3276D"/>
    <w:rsid w:val="00F36CE7"/>
    <w:rsid w:val="00F3763B"/>
    <w:rsid w:val="00F42C6D"/>
    <w:rsid w:val="00F443B4"/>
    <w:rsid w:val="00F466A8"/>
    <w:rsid w:val="00F504C4"/>
    <w:rsid w:val="00F51147"/>
    <w:rsid w:val="00F6677E"/>
    <w:rsid w:val="00F7387A"/>
    <w:rsid w:val="00F75ABB"/>
    <w:rsid w:val="00F82BF4"/>
    <w:rsid w:val="00F903B5"/>
    <w:rsid w:val="00FB59DD"/>
    <w:rsid w:val="00FD1276"/>
    <w:rsid w:val="00FD47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B5C3"/>
  <w15:chartTrackingRefBased/>
  <w15:docId w15:val="{FACA1546-75C2-481B-A247-D42EB12A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477"/>
    <w:pPr>
      <w:ind w:left="720"/>
      <w:contextualSpacing/>
    </w:pPr>
  </w:style>
  <w:style w:type="paragraph" w:styleId="NormalWeb">
    <w:name w:val="Normal (Web)"/>
    <w:basedOn w:val="Normal"/>
    <w:uiPriority w:val="99"/>
    <w:semiHidden/>
    <w:unhideWhenUsed/>
    <w:rsid w:val="00126A7A"/>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8990">
      <w:bodyDiv w:val="1"/>
      <w:marLeft w:val="0"/>
      <w:marRight w:val="0"/>
      <w:marTop w:val="0"/>
      <w:marBottom w:val="0"/>
      <w:divBdr>
        <w:top w:val="none" w:sz="0" w:space="0" w:color="auto"/>
        <w:left w:val="none" w:sz="0" w:space="0" w:color="auto"/>
        <w:bottom w:val="none" w:sz="0" w:space="0" w:color="auto"/>
        <w:right w:val="none" w:sz="0" w:space="0" w:color="auto"/>
      </w:divBdr>
    </w:div>
    <w:div w:id="1880124936">
      <w:bodyDiv w:val="1"/>
      <w:marLeft w:val="0"/>
      <w:marRight w:val="0"/>
      <w:marTop w:val="0"/>
      <w:marBottom w:val="0"/>
      <w:divBdr>
        <w:top w:val="none" w:sz="0" w:space="0" w:color="auto"/>
        <w:left w:val="none" w:sz="0" w:space="0" w:color="auto"/>
        <w:bottom w:val="none" w:sz="0" w:space="0" w:color="auto"/>
        <w:right w:val="none" w:sz="0" w:space="0" w:color="auto"/>
      </w:divBdr>
    </w:div>
    <w:div w:id="1898129636">
      <w:bodyDiv w:val="1"/>
      <w:marLeft w:val="0"/>
      <w:marRight w:val="0"/>
      <w:marTop w:val="0"/>
      <w:marBottom w:val="0"/>
      <w:divBdr>
        <w:top w:val="none" w:sz="0" w:space="0" w:color="auto"/>
        <w:left w:val="none" w:sz="0" w:space="0" w:color="auto"/>
        <w:bottom w:val="none" w:sz="0" w:space="0" w:color="auto"/>
        <w:right w:val="none" w:sz="0" w:space="0" w:color="auto"/>
      </w:divBdr>
    </w:div>
    <w:div w:id="21374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5</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Matosec Renata</dc:creator>
  <cp:keywords/>
  <dc:description/>
  <cp:lastModifiedBy>Matosec Renata</cp:lastModifiedBy>
  <cp:revision>28</cp:revision>
  <cp:lastPrinted>2026-03-12T13:04:00Z</cp:lastPrinted>
  <dcterms:created xsi:type="dcterms:W3CDTF">2026-03-10T11:29:00Z</dcterms:created>
  <dcterms:modified xsi:type="dcterms:W3CDTF">2026-03-17T13:45:00Z</dcterms:modified>
</cp:coreProperties>
</file>